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4BEB2">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附件二：</w:t>
      </w:r>
    </w:p>
    <w:p w14:paraId="5EBAE897">
      <w:pPr>
        <w:pStyle w:val="2"/>
        <w:numPr>
          <w:ilvl w:val="-1"/>
          <w:numId w:val="0"/>
        </w:numPr>
        <w:ind w:left="0" w:firstLine="0"/>
        <w:jc w:val="center"/>
        <w:rPr>
          <w:rFonts w:hint="eastAsia" w:ascii="Arial" w:hAnsi="Arial" w:cs="Arial" w:eastAsiaTheme="minorEastAsia"/>
          <w:lang w:val="en-US" w:eastAsia="zh-CN"/>
        </w:rPr>
      </w:pPr>
      <w:bookmarkStart w:id="0" w:name="_Toc2272"/>
      <w:bookmarkStart w:id="1" w:name="_Toc18056"/>
      <w:bookmarkStart w:id="2" w:name="_Toc26810"/>
      <w:bookmarkStart w:id="3" w:name="_Toc28153"/>
      <w:bookmarkStart w:id="4" w:name="_Toc137483262"/>
      <w:bookmarkStart w:id="5" w:name="_Toc22680"/>
      <w:r>
        <w:rPr>
          <w:rFonts w:hint="eastAsia" w:ascii="Arial" w:hAnsi="Arial" w:cs="Arial"/>
        </w:rPr>
        <w:t>评审</w:t>
      </w:r>
      <w:bookmarkEnd w:id="0"/>
      <w:bookmarkEnd w:id="1"/>
      <w:bookmarkEnd w:id="2"/>
      <w:bookmarkEnd w:id="3"/>
      <w:bookmarkEnd w:id="4"/>
      <w:bookmarkEnd w:id="5"/>
      <w:r>
        <w:rPr>
          <w:rFonts w:hint="eastAsia" w:ascii="Arial" w:hAnsi="Arial" w:cs="Arial"/>
          <w:lang w:val="en-US" w:eastAsia="zh-CN"/>
        </w:rPr>
        <w:t>规则</w:t>
      </w:r>
    </w:p>
    <w:tbl>
      <w:tblPr>
        <w:tblStyle w:val="3"/>
        <w:tblW w:w="10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16"/>
        <w:gridCol w:w="742"/>
        <w:gridCol w:w="7764"/>
      </w:tblGrid>
      <w:tr w14:paraId="0F35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49" w:type="dxa"/>
            <w:tcBorders>
              <w:top w:val="single" w:color="auto" w:sz="4" w:space="0"/>
              <w:left w:val="single" w:color="auto" w:sz="4" w:space="0"/>
              <w:bottom w:val="single" w:color="auto" w:sz="4" w:space="0"/>
              <w:right w:val="single" w:color="auto" w:sz="4" w:space="0"/>
            </w:tcBorders>
            <w:noWrap w:val="0"/>
            <w:vAlign w:val="center"/>
          </w:tcPr>
          <w:p w14:paraId="46FA9251">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评标项目</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65EEFD9">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评标分项</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1FA77829">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c>
          <w:tcPr>
            <w:tcW w:w="7764" w:type="dxa"/>
            <w:tcBorders>
              <w:top w:val="single" w:color="auto" w:sz="4" w:space="0"/>
              <w:left w:val="single" w:color="auto" w:sz="4" w:space="0"/>
              <w:bottom w:val="single" w:color="auto" w:sz="4" w:space="0"/>
              <w:right w:val="single" w:color="auto" w:sz="4" w:space="0"/>
            </w:tcBorders>
            <w:noWrap w:val="0"/>
            <w:vAlign w:val="center"/>
          </w:tcPr>
          <w:p w14:paraId="3E272BE8">
            <w:pPr>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r>
      <w:tr w14:paraId="089F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249" w:type="dxa"/>
            <w:vMerge w:val="restart"/>
            <w:tcBorders>
              <w:top w:val="single" w:color="auto" w:sz="4" w:space="0"/>
              <w:left w:val="single" w:color="auto" w:sz="4" w:space="0"/>
              <w:right w:val="single" w:color="auto" w:sz="4" w:space="0"/>
            </w:tcBorders>
            <w:noWrap w:val="0"/>
            <w:vAlign w:val="center"/>
          </w:tcPr>
          <w:p w14:paraId="29FC7818">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价格部分</w:t>
            </w:r>
          </w:p>
          <w:p w14:paraId="720DB84A">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（10分）</w:t>
            </w:r>
          </w:p>
        </w:tc>
        <w:tc>
          <w:tcPr>
            <w:tcW w:w="1216" w:type="dxa"/>
            <w:tcBorders>
              <w:top w:val="single" w:color="auto" w:sz="4" w:space="0"/>
              <w:left w:val="single" w:color="auto" w:sz="4" w:space="0"/>
              <w:right w:val="single" w:color="auto" w:sz="4" w:space="0"/>
            </w:tcBorders>
            <w:noWrap w:val="0"/>
            <w:vAlign w:val="center"/>
          </w:tcPr>
          <w:p w14:paraId="162E7930">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遴选</w:t>
            </w:r>
            <w:r>
              <w:rPr>
                <w:rFonts w:hint="eastAsia" w:ascii="宋体" w:hAnsi="宋体" w:eastAsia="宋体" w:cs="宋体"/>
                <w:b/>
                <w:bCs/>
                <w:sz w:val="24"/>
                <w:szCs w:val="24"/>
                <w:highlight w:val="none"/>
              </w:rPr>
              <w:t>报价</w:t>
            </w:r>
          </w:p>
        </w:tc>
        <w:tc>
          <w:tcPr>
            <w:tcW w:w="742" w:type="dxa"/>
            <w:tcBorders>
              <w:top w:val="single" w:color="auto" w:sz="4" w:space="0"/>
              <w:left w:val="single" w:color="auto" w:sz="4" w:space="0"/>
              <w:right w:val="single" w:color="auto" w:sz="4" w:space="0"/>
            </w:tcBorders>
            <w:noWrap w:val="0"/>
            <w:vAlign w:val="center"/>
          </w:tcPr>
          <w:p w14:paraId="30B0089E">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w:t>
            </w:r>
          </w:p>
        </w:tc>
        <w:tc>
          <w:tcPr>
            <w:tcW w:w="7764" w:type="dxa"/>
            <w:tcBorders>
              <w:top w:val="single" w:color="auto" w:sz="4" w:space="0"/>
              <w:left w:val="single" w:color="auto" w:sz="4" w:space="0"/>
              <w:bottom w:val="single" w:color="auto" w:sz="4" w:space="0"/>
              <w:right w:val="single" w:color="auto" w:sz="4" w:space="0"/>
            </w:tcBorders>
            <w:noWrap w:val="0"/>
            <w:vAlign w:val="center"/>
          </w:tcPr>
          <w:p w14:paraId="6C87CEA7">
            <w:pPr>
              <w:spacing w:line="240" w:lineRule="auto"/>
              <w:jc w:val="left"/>
              <w:rPr>
                <w:rFonts w:hint="eastAsia" w:ascii="宋体" w:hAnsi="宋体" w:eastAsia="宋体" w:cs="宋体"/>
                <w:b/>
                <w:sz w:val="24"/>
                <w:szCs w:val="24"/>
                <w:highlight w:val="none"/>
              </w:rPr>
            </w:pPr>
            <w:r>
              <w:rPr>
                <w:rFonts w:hint="eastAsia" w:ascii="宋体" w:hAnsi="宋体" w:cs="宋体"/>
                <w:color w:val="auto"/>
                <w:kern w:val="0"/>
                <w:sz w:val="24"/>
                <w:highlight w:val="none"/>
              </w:rPr>
              <w:t>基础服务费报价</w:t>
            </w:r>
            <w:r>
              <w:rPr>
                <w:rFonts w:hint="eastAsia" w:ascii="宋体" w:hAnsi="宋体" w:cs="宋体"/>
                <w:color w:val="auto"/>
                <w:kern w:val="0"/>
                <w:sz w:val="24"/>
                <w:highlight w:val="none"/>
                <w:lang w:val="en-US" w:eastAsia="zh-CN"/>
              </w:rPr>
              <w:t>分和</w:t>
            </w:r>
            <w:r>
              <w:rPr>
                <w:rFonts w:hint="eastAsia" w:ascii="宋体" w:hAnsi="宋体" w:cs="宋体"/>
                <w:color w:val="auto"/>
                <w:kern w:val="0"/>
                <w:sz w:val="24"/>
                <w:highlight w:val="none"/>
              </w:rPr>
              <w:t>奖励费用分</w:t>
            </w:r>
            <w:r>
              <w:rPr>
                <w:rFonts w:hint="eastAsia" w:ascii="宋体" w:hAnsi="宋体" w:cs="宋体"/>
                <w:color w:val="auto"/>
                <w:kern w:val="0"/>
                <w:sz w:val="24"/>
                <w:highlight w:val="none"/>
                <w:lang w:val="en-US" w:eastAsia="zh-CN"/>
              </w:rPr>
              <w:t>均</w:t>
            </w:r>
            <w:r>
              <w:rPr>
                <w:rFonts w:hint="eastAsia" w:ascii="宋体" w:hAnsi="宋体" w:cs="宋体"/>
                <w:color w:val="auto"/>
                <w:kern w:val="0"/>
                <w:sz w:val="24"/>
                <w:highlight w:val="none"/>
              </w:rPr>
              <w:t>采用低价优先法计算。即：执行报价最低的供应商的价格为响应基准价，其价格分为满分。其他供应商的价格分按照下列公式计算：报价分=(响应基准价／响应报价)×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%×100分。</w:t>
            </w:r>
          </w:p>
        </w:tc>
      </w:tr>
      <w:tr w14:paraId="56FB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249" w:type="dxa"/>
            <w:vMerge w:val="restart"/>
            <w:tcBorders>
              <w:top w:val="single" w:color="auto" w:sz="4" w:space="0"/>
              <w:left w:val="single" w:color="auto" w:sz="4" w:space="0"/>
              <w:right w:val="single" w:color="auto" w:sz="4" w:space="0"/>
            </w:tcBorders>
            <w:noWrap w:val="0"/>
            <w:vAlign w:val="center"/>
          </w:tcPr>
          <w:p w14:paraId="204C63B4">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14:paraId="2C24D359">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（25分）</w:t>
            </w:r>
          </w:p>
        </w:tc>
        <w:tc>
          <w:tcPr>
            <w:tcW w:w="1216" w:type="dxa"/>
            <w:tcBorders>
              <w:top w:val="single" w:color="auto" w:sz="4" w:space="0"/>
              <w:left w:val="single" w:color="auto" w:sz="4" w:space="0"/>
              <w:right w:val="single" w:color="auto" w:sz="4" w:space="0"/>
            </w:tcBorders>
            <w:noWrap w:val="0"/>
            <w:vAlign w:val="center"/>
          </w:tcPr>
          <w:p w14:paraId="37C0E19E">
            <w:pPr>
              <w:pStyle w:val="5"/>
              <w:kinsoku w:val="0"/>
              <w:overflowPunct w:val="0"/>
              <w:spacing w:line="240" w:lineRule="auto"/>
              <w:ind w:right="173"/>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类似业绩</w:t>
            </w:r>
          </w:p>
        </w:tc>
        <w:tc>
          <w:tcPr>
            <w:tcW w:w="742" w:type="dxa"/>
            <w:tcBorders>
              <w:top w:val="single" w:color="auto" w:sz="4" w:space="0"/>
              <w:left w:val="single" w:color="auto" w:sz="4" w:space="0"/>
              <w:right w:val="single" w:color="auto" w:sz="4" w:space="0"/>
            </w:tcBorders>
            <w:noWrap w:val="0"/>
            <w:vAlign w:val="center"/>
          </w:tcPr>
          <w:p w14:paraId="278CBFEB">
            <w:pPr>
              <w:pStyle w:val="5"/>
              <w:kinsoku w:val="0"/>
              <w:overflowPunct w:val="0"/>
              <w:spacing w:line="240" w:lineRule="auto"/>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8</w:t>
            </w:r>
          </w:p>
        </w:tc>
        <w:tc>
          <w:tcPr>
            <w:tcW w:w="7764" w:type="dxa"/>
            <w:tcBorders>
              <w:top w:val="single" w:color="auto" w:sz="4" w:space="0"/>
              <w:left w:val="single" w:color="auto" w:sz="4" w:space="0"/>
              <w:right w:val="single" w:color="auto" w:sz="4" w:space="0"/>
            </w:tcBorders>
            <w:noWrap w:val="0"/>
            <w:vAlign w:val="center"/>
          </w:tcPr>
          <w:p w14:paraId="313ABD5F">
            <w:pPr>
              <w:pStyle w:val="5"/>
              <w:kinsoku w:val="0"/>
              <w:overflowPunct w:val="0"/>
              <w:spacing w:line="240" w:lineRule="auto"/>
              <w:ind w:right="12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cs="宋体"/>
                <w:sz w:val="24"/>
                <w:szCs w:val="24"/>
                <w:highlight w:val="none"/>
                <w:lang w:val="en-US" w:eastAsia="zh-CN"/>
              </w:rPr>
              <w:t>近五年（自2020年1月1日至今）</w:t>
            </w:r>
            <w:r>
              <w:rPr>
                <w:rFonts w:hint="eastAsia" w:ascii="宋体" w:hAnsi="宋体" w:eastAsia="宋体" w:cs="宋体"/>
                <w:sz w:val="24"/>
                <w:szCs w:val="24"/>
                <w:highlight w:val="none"/>
              </w:rPr>
              <w:t>有过类似</w:t>
            </w:r>
            <w:r>
              <w:rPr>
                <w:rFonts w:hint="eastAsia" w:ascii="宋体" w:hAnsi="宋体" w:cs="宋体"/>
                <w:sz w:val="24"/>
                <w:szCs w:val="24"/>
                <w:highlight w:val="none"/>
                <w:lang w:eastAsia="zh-CN"/>
              </w:rPr>
              <w:t>的</w:t>
            </w:r>
            <w:r>
              <w:rPr>
                <w:rFonts w:hint="eastAsia" w:ascii="宋体" w:hAnsi="宋体" w:eastAsia="宋体" w:cs="宋体"/>
                <w:sz w:val="24"/>
                <w:szCs w:val="24"/>
                <w:highlight w:val="none"/>
              </w:rPr>
              <w:t>业绩经验</w:t>
            </w:r>
            <w:r>
              <w:rPr>
                <w:rFonts w:hint="eastAsia" w:ascii="宋体" w:hAnsi="宋体" w:cs="宋体"/>
                <w:sz w:val="24"/>
                <w:szCs w:val="24"/>
                <w:highlight w:val="none"/>
                <w:lang w:eastAsia="zh-CN"/>
              </w:rPr>
              <w:t>的</w:t>
            </w:r>
            <w:r>
              <w:rPr>
                <w:rFonts w:hint="eastAsia" w:ascii="宋体" w:hAnsi="宋体" w:eastAsia="宋体" w:cs="宋体"/>
                <w:sz w:val="24"/>
                <w:szCs w:val="24"/>
                <w:highlight w:val="none"/>
              </w:rPr>
              <w:t>，每</w:t>
            </w:r>
            <w:r>
              <w:rPr>
                <w:rFonts w:hint="eastAsia" w:ascii="宋体" w:hAnsi="宋体" w:cs="宋体"/>
                <w:sz w:val="24"/>
                <w:szCs w:val="24"/>
                <w:highlight w:val="none"/>
                <w:lang w:val="en-US" w:eastAsia="zh-CN"/>
              </w:rPr>
              <w:t>提供1</w:t>
            </w:r>
            <w:r>
              <w:rPr>
                <w:rFonts w:hint="eastAsia" w:ascii="宋体" w:hAnsi="宋体" w:eastAsia="宋体" w:cs="宋体"/>
                <w:sz w:val="24"/>
                <w:szCs w:val="24"/>
                <w:highlight w:val="none"/>
              </w:rPr>
              <w:t>个得2分，满分</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kern w:val="0"/>
                <w:sz w:val="24"/>
                <w:highlight w:val="none"/>
                <w:lang w:bidi="ar"/>
              </w:rPr>
              <w:t>须提供中标通知书或合同方可计分，以提供的证明材料签订时间为准，未提供或内容不清晰致无法辨认</w:t>
            </w:r>
            <w:r>
              <w:rPr>
                <w:rFonts w:hint="eastAsia" w:ascii="宋体" w:hAnsi="宋体" w:cs="宋体"/>
                <w:kern w:val="0"/>
                <w:sz w:val="24"/>
                <w:highlight w:val="none"/>
                <w:lang w:eastAsia="zh-CN" w:bidi="ar"/>
              </w:rPr>
              <w:t>的</w:t>
            </w:r>
            <w:r>
              <w:rPr>
                <w:rFonts w:hint="eastAsia" w:ascii="宋体" w:hAnsi="宋体" w:cs="宋体"/>
                <w:kern w:val="0"/>
                <w:sz w:val="24"/>
                <w:highlight w:val="none"/>
                <w:lang w:bidi="ar"/>
              </w:rPr>
              <w:t>不得</w:t>
            </w:r>
            <w:r>
              <w:rPr>
                <w:rFonts w:hint="eastAsia" w:cs="宋体"/>
                <w:kern w:val="0"/>
                <w:sz w:val="24"/>
                <w:highlight w:val="none"/>
                <w:lang w:val="en-US" w:eastAsia="zh-CN" w:bidi="ar"/>
              </w:rPr>
              <w:t>分</w:t>
            </w:r>
          </w:p>
        </w:tc>
      </w:tr>
      <w:tr w14:paraId="64A1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49" w:type="dxa"/>
            <w:vMerge w:val="continue"/>
            <w:tcBorders>
              <w:left w:val="single" w:color="auto" w:sz="4" w:space="0"/>
              <w:right w:val="single" w:color="auto" w:sz="4" w:space="0"/>
            </w:tcBorders>
            <w:noWrap w:val="0"/>
            <w:vAlign w:val="center"/>
          </w:tcPr>
          <w:p w14:paraId="7FFEEA9D">
            <w:pPr>
              <w:spacing w:line="240" w:lineRule="auto"/>
              <w:jc w:val="center"/>
              <w:rPr>
                <w:rFonts w:hint="eastAsia" w:ascii="宋体" w:hAnsi="宋体" w:eastAsia="宋体" w:cs="宋体"/>
                <w:b/>
                <w:bCs/>
                <w:sz w:val="24"/>
                <w:szCs w:val="24"/>
                <w:highlight w:val="none"/>
              </w:rPr>
            </w:pPr>
          </w:p>
        </w:tc>
        <w:tc>
          <w:tcPr>
            <w:tcW w:w="1216" w:type="dxa"/>
            <w:vMerge w:val="restart"/>
            <w:tcBorders>
              <w:left w:val="single" w:color="auto" w:sz="4" w:space="0"/>
              <w:right w:val="single" w:color="auto" w:sz="4" w:space="0"/>
            </w:tcBorders>
            <w:noWrap w:val="0"/>
            <w:vAlign w:val="center"/>
          </w:tcPr>
          <w:p w14:paraId="0A05D5B4">
            <w:pPr>
              <w:pStyle w:val="5"/>
              <w:kinsoku w:val="0"/>
              <w:overflowPunct w:val="0"/>
              <w:spacing w:line="240" w:lineRule="auto"/>
              <w:ind w:right="126"/>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人员配置</w:t>
            </w:r>
          </w:p>
        </w:tc>
        <w:tc>
          <w:tcPr>
            <w:tcW w:w="742" w:type="dxa"/>
            <w:vMerge w:val="restart"/>
            <w:tcBorders>
              <w:left w:val="single" w:color="auto" w:sz="4" w:space="0"/>
              <w:right w:val="single" w:color="auto" w:sz="4" w:space="0"/>
            </w:tcBorders>
            <w:noWrap w:val="0"/>
            <w:vAlign w:val="center"/>
          </w:tcPr>
          <w:p w14:paraId="1C114735">
            <w:pPr>
              <w:pStyle w:val="5"/>
              <w:kinsoku w:val="0"/>
              <w:overflowPunct w:val="0"/>
              <w:spacing w:line="240" w:lineRule="auto"/>
              <w:ind w:right="126"/>
              <w:jc w:val="both"/>
              <w:rPr>
                <w:rFonts w:hint="eastAsia" w:ascii="宋体" w:hAnsi="宋体" w:cs="宋体"/>
                <w:b/>
                <w:bCs/>
                <w:sz w:val="24"/>
                <w:szCs w:val="24"/>
                <w:highlight w:val="none"/>
                <w:lang w:val="en-US" w:eastAsia="zh-CN"/>
              </w:rPr>
            </w:pPr>
          </w:p>
          <w:p w14:paraId="2FE24E20">
            <w:pPr>
              <w:pStyle w:val="5"/>
              <w:kinsoku w:val="0"/>
              <w:overflowPunct w:val="0"/>
              <w:spacing w:line="240" w:lineRule="auto"/>
              <w:ind w:right="126"/>
              <w:jc w:val="center"/>
              <w:rPr>
                <w:rFonts w:hint="default" w:ascii="宋体" w:hAnsi="宋体" w:eastAsia="宋体" w:cs="宋体"/>
                <w:b/>
                <w:bCs/>
                <w:kern w:val="0"/>
                <w:sz w:val="24"/>
                <w:szCs w:val="24"/>
                <w:highlight w:val="none"/>
                <w:lang w:val="en-US" w:eastAsia="zh-CN" w:bidi="ar-SA"/>
              </w:rPr>
            </w:pPr>
            <w:r>
              <w:rPr>
                <w:rFonts w:hint="eastAsia" w:ascii="宋体" w:hAnsi="宋体" w:cs="宋体"/>
                <w:b/>
                <w:bCs/>
                <w:sz w:val="24"/>
                <w:szCs w:val="24"/>
                <w:highlight w:val="none"/>
                <w:lang w:val="en-US" w:eastAsia="zh-CN"/>
              </w:rPr>
              <w:t>14</w:t>
            </w:r>
          </w:p>
        </w:tc>
        <w:tc>
          <w:tcPr>
            <w:tcW w:w="7764" w:type="dxa"/>
            <w:tcBorders>
              <w:top w:val="single" w:color="auto" w:sz="4" w:space="0"/>
              <w:left w:val="single" w:color="auto" w:sz="4" w:space="0"/>
              <w:right w:val="single" w:color="auto" w:sz="4" w:space="0"/>
            </w:tcBorders>
            <w:noWrap w:val="0"/>
            <w:vAlign w:val="center"/>
          </w:tcPr>
          <w:p w14:paraId="6E1A11A5">
            <w:pPr>
              <w:pStyle w:val="5"/>
              <w:kinsoku w:val="0"/>
              <w:overflowPunct w:val="0"/>
              <w:spacing w:line="240" w:lineRule="auto"/>
              <w:ind w:right="12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r>
              <w:rPr>
                <w:rFonts w:hint="eastAsia" w:ascii="宋体" w:hAnsi="宋体" w:eastAsia="宋体" w:cs="宋体"/>
                <w:color w:val="auto"/>
                <w:sz w:val="24"/>
                <w:szCs w:val="24"/>
                <w:highlight w:val="none"/>
              </w:rPr>
              <w:t>拟派项目负责人具有咨询工程师（投资）</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且满1年（含）-</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分；满5年（含）-</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年的得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年（含）及以上的得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分。须提供</w:t>
            </w:r>
            <w:r>
              <w:rPr>
                <w:rFonts w:hint="eastAsia" w:ascii="宋体" w:hAnsi="宋体" w:eastAsia="宋体" w:cs="宋体"/>
                <w:color w:val="auto"/>
                <w:sz w:val="24"/>
                <w:szCs w:val="24"/>
                <w:highlight w:val="none"/>
                <w:lang w:val="en-US" w:eastAsia="zh-CN"/>
              </w:rPr>
              <w:t>人员身份证及证书</w:t>
            </w:r>
            <w:r>
              <w:rPr>
                <w:rFonts w:hint="eastAsia" w:ascii="宋体" w:hAnsi="宋体" w:eastAsia="宋体" w:cs="宋体"/>
                <w:color w:val="auto"/>
                <w:sz w:val="24"/>
                <w:szCs w:val="24"/>
                <w:highlight w:val="none"/>
              </w:rPr>
              <w:t>方可计分，未提供或内容不清晰致无法辨认</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不得分。</w:t>
            </w:r>
          </w:p>
        </w:tc>
      </w:tr>
      <w:tr w14:paraId="28B8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49" w:type="dxa"/>
            <w:vMerge w:val="continue"/>
            <w:tcBorders>
              <w:left w:val="single" w:color="auto" w:sz="4" w:space="0"/>
              <w:right w:val="single" w:color="auto" w:sz="4" w:space="0"/>
            </w:tcBorders>
            <w:noWrap w:val="0"/>
            <w:vAlign w:val="center"/>
          </w:tcPr>
          <w:p w14:paraId="32489CFF">
            <w:pPr>
              <w:spacing w:line="240" w:lineRule="auto"/>
              <w:jc w:val="center"/>
              <w:rPr>
                <w:rFonts w:hint="eastAsia" w:ascii="宋体" w:hAnsi="宋体" w:eastAsia="宋体" w:cs="宋体"/>
                <w:b/>
                <w:bCs/>
                <w:sz w:val="24"/>
                <w:szCs w:val="24"/>
                <w:highlight w:val="none"/>
              </w:rPr>
            </w:pPr>
          </w:p>
        </w:tc>
        <w:tc>
          <w:tcPr>
            <w:tcW w:w="1216" w:type="dxa"/>
            <w:vMerge w:val="continue"/>
            <w:tcBorders>
              <w:left w:val="single" w:color="auto" w:sz="4" w:space="0"/>
              <w:right w:val="single" w:color="auto" w:sz="4" w:space="0"/>
            </w:tcBorders>
            <w:noWrap w:val="0"/>
            <w:vAlign w:val="center"/>
          </w:tcPr>
          <w:p w14:paraId="0506085A">
            <w:pPr>
              <w:pStyle w:val="5"/>
              <w:kinsoku w:val="0"/>
              <w:overflowPunct w:val="0"/>
              <w:spacing w:line="240" w:lineRule="auto"/>
              <w:ind w:right="126" w:firstLine="480"/>
              <w:jc w:val="center"/>
              <w:rPr>
                <w:rFonts w:hint="eastAsia" w:ascii="宋体" w:hAnsi="宋体" w:eastAsia="宋体" w:cs="宋体"/>
                <w:b/>
                <w:bCs/>
                <w:sz w:val="24"/>
                <w:szCs w:val="24"/>
                <w:highlight w:val="none"/>
              </w:rPr>
            </w:pPr>
          </w:p>
        </w:tc>
        <w:tc>
          <w:tcPr>
            <w:tcW w:w="742" w:type="dxa"/>
            <w:vMerge w:val="continue"/>
            <w:tcBorders>
              <w:left w:val="single" w:color="auto" w:sz="4" w:space="0"/>
              <w:right w:val="single" w:color="auto" w:sz="4" w:space="0"/>
            </w:tcBorders>
            <w:noWrap w:val="0"/>
            <w:vAlign w:val="center"/>
          </w:tcPr>
          <w:p w14:paraId="35E994BD">
            <w:pPr>
              <w:pStyle w:val="5"/>
              <w:kinsoku w:val="0"/>
              <w:overflowPunct w:val="0"/>
              <w:spacing w:line="240" w:lineRule="auto"/>
              <w:ind w:right="126" w:firstLine="480"/>
              <w:jc w:val="center"/>
              <w:rPr>
                <w:rFonts w:hint="eastAsia" w:ascii="宋体" w:hAnsi="宋体" w:eastAsia="宋体" w:cs="宋体"/>
                <w:b/>
                <w:bCs/>
                <w:sz w:val="24"/>
                <w:szCs w:val="24"/>
                <w:highlight w:val="none"/>
              </w:rPr>
            </w:pPr>
          </w:p>
        </w:tc>
        <w:tc>
          <w:tcPr>
            <w:tcW w:w="7764" w:type="dxa"/>
            <w:tcBorders>
              <w:top w:val="single" w:color="auto" w:sz="4" w:space="0"/>
              <w:left w:val="single" w:color="auto" w:sz="4" w:space="0"/>
              <w:right w:val="single" w:color="auto" w:sz="4" w:space="0"/>
            </w:tcBorders>
            <w:noWrap w:val="0"/>
            <w:vAlign w:val="center"/>
          </w:tcPr>
          <w:p w14:paraId="193C6F99">
            <w:r>
              <w:rPr>
                <w:rFonts w:hint="eastAsia" w:ascii="宋体" w:hAnsi="宋体" w:eastAsia="宋体" w:cs="宋体"/>
                <w:sz w:val="24"/>
                <w:szCs w:val="24"/>
                <w:highlight w:val="none"/>
              </w:rPr>
              <w:t>项目团队的人员（不含项目负责人）：团队</w:t>
            </w:r>
            <w:r>
              <w:rPr>
                <w:rFonts w:hint="eastAsia" w:ascii="宋体" w:hAnsi="宋体" w:cs="宋体"/>
                <w:sz w:val="24"/>
                <w:szCs w:val="24"/>
                <w:highlight w:val="none"/>
                <w:lang w:val="en-US" w:eastAsia="zh-CN"/>
              </w:rPr>
              <w:t>人员</w:t>
            </w:r>
            <w:r>
              <w:rPr>
                <w:rFonts w:hint="eastAsia" w:ascii="宋体" w:hAnsi="宋体" w:eastAsia="宋体" w:cs="宋体"/>
                <w:color w:val="auto"/>
                <w:sz w:val="24"/>
                <w:szCs w:val="24"/>
                <w:highlight w:val="none"/>
              </w:rPr>
              <w:t>具有咨询工程师（投资）</w:t>
            </w:r>
            <w:r>
              <w:rPr>
                <w:rFonts w:hint="eastAsia" w:ascii="宋体" w:hAnsi="宋体" w:eastAsia="宋体" w:cs="宋体"/>
                <w:color w:val="auto"/>
                <w:sz w:val="24"/>
                <w:szCs w:val="24"/>
                <w:highlight w:val="none"/>
                <w:lang w:val="en-US" w:eastAsia="zh-CN"/>
              </w:rPr>
              <w:t>证书</w:t>
            </w:r>
            <w:r>
              <w:rPr>
                <w:rFonts w:hint="eastAsia" w:ascii="宋体" w:hAnsi="宋体" w:eastAsia="宋体" w:cs="宋体"/>
                <w:sz w:val="24"/>
                <w:szCs w:val="24"/>
                <w:highlight w:val="none"/>
              </w:rPr>
              <w:t>，每提供</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人得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本项满分10分。</w:t>
            </w:r>
          </w:p>
          <w:p w14:paraId="5B042695">
            <w:pPr>
              <w:pStyle w:val="5"/>
              <w:kinsoku w:val="0"/>
              <w:overflowPunct w:val="0"/>
              <w:spacing w:line="240" w:lineRule="auto"/>
              <w:ind w:right="126"/>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val="en-US" w:eastAsia="zh-CN"/>
              </w:rPr>
              <w:t>人员身份证及证书</w:t>
            </w:r>
            <w:r>
              <w:rPr>
                <w:rFonts w:hint="eastAsia" w:ascii="宋体" w:hAnsi="宋体" w:eastAsia="宋体" w:cs="宋体"/>
                <w:color w:val="auto"/>
                <w:sz w:val="24"/>
                <w:szCs w:val="24"/>
                <w:highlight w:val="none"/>
              </w:rPr>
              <w:t>方可计分，未提供或内容不清晰致无法辨认</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不得分。</w:t>
            </w:r>
          </w:p>
        </w:tc>
      </w:tr>
      <w:tr w14:paraId="4AD3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49" w:type="dxa"/>
            <w:vMerge w:val="continue"/>
            <w:tcBorders>
              <w:left w:val="single" w:color="auto" w:sz="4" w:space="0"/>
              <w:right w:val="single" w:color="auto" w:sz="4" w:space="0"/>
            </w:tcBorders>
            <w:noWrap w:val="0"/>
            <w:vAlign w:val="center"/>
          </w:tcPr>
          <w:p w14:paraId="57D8B7F4">
            <w:pPr>
              <w:spacing w:line="240" w:lineRule="auto"/>
              <w:jc w:val="center"/>
              <w:rPr>
                <w:rFonts w:hint="eastAsia" w:ascii="宋体" w:hAnsi="宋体" w:eastAsia="宋体" w:cs="宋体"/>
                <w:b/>
                <w:bCs/>
                <w:sz w:val="24"/>
                <w:szCs w:val="24"/>
                <w:highlight w:val="none"/>
              </w:rPr>
            </w:pPr>
          </w:p>
        </w:tc>
        <w:tc>
          <w:tcPr>
            <w:tcW w:w="1216" w:type="dxa"/>
            <w:tcBorders>
              <w:left w:val="single" w:color="auto" w:sz="4" w:space="0"/>
              <w:right w:val="single" w:color="auto" w:sz="4" w:space="0"/>
            </w:tcBorders>
            <w:noWrap w:val="0"/>
            <w:vAlign w:val="center"/>
          </w:tcPr>
          <w:p w14:paraId="26894485">
            <w:pPr>
              <w:pStyle w:val="5"/>
              <w:kinsoku w:val="0"/>
              <w:overflowPunct w:val="0"/>
              <w:spacing w:line="240" w:lineRule="auto"/>
              <w:ind w:right="126"/>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企业实力</w:t>
            </w:r>
          </w:p>
        </w:tc>
        <w:tc>
          <w:tcPr>
            <w:tcW w:w="742" w:type="dxa"/>
            <w:tcBorders>
              <w:left w:val="single" w:color="auto" w:sz="4" w:space="0"/>
              <w:right w:val="single" w:color="auto" w:sz="4" w:space="0"/>
            </w:tcBorders>
            <w:noWrap w:val="0"/>
            <w:vAlign w:val="center"/>
          </w:tcPr>
          <w:p w14:paraId="6957392E">
            <w:pPr>
              <w:pStyle w:val="5"/>
              <w:kinsoku w:val="0"/>
              <w:overflowPunct w:val="0"/>
              <w:spacing w:line="240" w:lineRule="auto"/>
              <w:ind w:right="126" w:rightChars="0"/>
              <w:jc w:val="center"/>
              <w:rPr>
                <w:rFonts w:hint="default" w:ascii="宋体" w:hAnsi="宋体" w:eastAsia="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3</w:t>
            </w:r>
          </w:p>
        </w:tc>
        <w:tc>
          <w:tcPr>
            <w:tcW w:w="7764" w:type="dxa"/>
            <w:tcBorders>
              <w:top w:val="single" w:color="auto" w:sz="4" w:space="0"/>
              <w:left w:val="single" w:color="auto" w:sz="4" w:space="0"/>
              <w:right w:val="single" w:color="auto" w:sz="4" w:space="0"/>
            </w:tcBorders>
            <w:noWrap w:val="0"/>
            <w:vAlign w:val="center"/>
          </w:tcPr>
          <w:p w14:paraId="1CA206C6">
            <w:pPr>
              <w:rPr>
                <w:rFonts w:hint="eastAsia" w:ascii="宋体" w:hAnsi="宋体" w:eastAsia="宋体" w:cs="宋体"/>
                <w:sz w:val="24"/>
                <w:szCs w:val="24"/>
                <w:highlight w:val="none"/>
              </w:rPr>
            </w:pPr>
            <w:r>
              <w:rPr>
                <w:rFonts w:hint="eastAsia" w:ascii="宋体" w:hAnsi="宋体" w:eastAsia="宋体" w:cs="宋体"/>
                <w:sz w:val="24"/>
                <w:szCs w:val="24"/>
                <w:highlight w:val="none"/>
              </w:rPr>
              <w:t>①具有有效期内的质量管理体系认证证书得1分；</w:t>
            </w:r>
          </w:p>
          <w:p w14:paraId="4C000FA7">
            <w:pPr>
              <w:rPr>
                <w:rFonts w:hint="eastAsia" w:ascii="宋体" w:hAnsi="宋体" w:eastAsia="宋体" w:cs="宋体"/>
                <w:sz w:val="24"/>
                <w:szCs w:val="24"/>
                <w:highlight w:val="none"/>
              </w:rPr>
            </w:pPr>
            <w:r>
              <w:rPr>
                <w:rFonts w:hint="eastAsia" w:ascii="宋体" w:hAnsi="宋体" w:eastAsia="宋体" w:cs="宋体"/>
                <w:sz w:val="24"/>
                <w:szCs w:val="24"/>
                <w:highlight w:val="none"/>
              </w:rPr>
              <w:t>②具有有效期内的环境管理体系认证证书得1分；</w:t>
            </w:r>
          </w:p>
          <w:p w14:paraId="243922B5">
            <w:pPr>
              <w:rPr>
                <w:rFonts w:hint="eastAsia" w:ascii="宋体" w:hAnsi="宋体" w:eastAsia="宋体" w:cs="宋体"/>
                <w:sz w:val="24"/>
                <w:szCs w:val="24"/>
                <w:highlight w:val="none"/>
              </w:rPr>
            </w:pPr>
            <w:r>
              <w:rPr>
                <w:rFonts w:hint="eastAsia" w:ascii="宋体" w:hAnsi="宋体" w:eastAsia="宋体" w:cs="宋体"/>
                <w:sz w:val="24"/>
                <w:szCs w:val="24"/>
                <w:highlight w:val="none"/>
              </w:rPr>
              <w:t>③具有有效期内的职业健康安全管理体系认证证书得1分。</w:t>
            </w:r>
          </w:p>
          <w:p w14:paraId="5D7C0778">
            <w:pP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rPr>
              <w:t>④</w:t>
            </w:r>
            <w:r>
              <w:rPr>
                <w:rFonts w:hint="eastAsia" w:ascii="宋体" w:hAnsi="宋体" w:eastAsia="宋体" w:cs="宋体"/>
                <w:sz w:val="24"/>
                <w:szCs w:val="24"/>
                <w:highlight w:val="none"/>
                <w:lang w:val="en-US" w:eastAsia="zh-CN"/>
              </w:rPr>
              <w:t>须提供</w:t>
            </w:r>
            <w:r>
              <w:rPr>
                <w:rFonts w:hint="eastAsia" w:ascii="宋体" w:hAnsi="宋体" w:eastAsia="宋体" w:cs="宋体"/>
                <w:sz w:val="24"/>
                <w:szCs w:val="24"/>
                <w:highlight w:val="none"/>
              </w:rPr>
              <w:t>有效期内的认证证书复印件，未提供不得分</w:t>
            </w:r>
          </w:p>
        </w:tc>
      </w:tr>
      <w:tr w14:paraId="51A2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49" w:type="dxa"/>
            <w:vMerge w:val="restart"/>
            <w:tcBorders>
              <w:top w:val="single" w:color="auto" w:sz="4" w:space="0"/>
              <w:left w:val="single" w:color="auto" w:sz="4" w:space="0"/>
              <w:right w:val="single" w:color="auto" w:sz="4" w:space="0"/>
            </w:tcBorders>
            <w:noWrap w:val="0"/>
            <w:vAlign w:val="center"/>
          </w:tcPr>
          <w:p w14:paraId="0AD4A058">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14:paraId="4E73D58E">
            <w:pPr>
              <w:widowControl/>
              <w:spacing w:line="24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（65分）</w:t>
            </w:r>
          </w:p>
        </w:tc>
        <w:tc>
          <w:tcPr>
            <w:tcW w:w="1216" w:type="dxa"/>
            <w:tcBorders>
              <w:top w:val="single" w:color="auto" w:sz="4" w:space="0"/>
              <w:left w:val="single" w:color="auto" w:sz="4" w:space="0"/>
              <w:right w:val="single" w:color="auto" w:sz="4" w:space="0"/>
            </w:tcBorders>
            <w:noWrap w:val="0"/>
            <w:vAlign w:val="center"/>
          </w:tcPr>
          <w:p w14:paraId="3DA3B334">
            <w:pPr>
              <w:pStyle w:val="5"/>
              <w:kinsoku w:val="0"/>
              <w:overflowPunct w:val="0"/>
              <w:spacing w:line="240" w:lineRule="auto"/>
              <w:ind w:right="126"/>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项目理解</w:t>
            </w:r>
          </w:p>
        </w:tc>
        <w:tc>
          <w:tcPr>
            <w:tcW w:w="742" w:type="dxa"/>
            <w:tcBorders>
              <w:top w:val="single" w:color="auto" w:sz="4" w:space="0"/>
              <w:left w:val="single" w:color="auto" w:sz="4" w:space="0"/>
              <w:right w:val="single" w:color="auto" w:sz="4" w:space="0"/>
            </w:tcBorders>
            <w:noWrap w:val="0"/>
            <w:vAlign w:val="center"/>
          </w:tcPr>
          <w:p w14:paraId="677490B0">
            <w:pPr>
              <w:pStyle w:val="5"/>
              <w:kinsoku w:val="0"/>
              <w:overflowPunct w:val="0"/>
              <w:spacing w:line="240" w:lineRule="auto"/>
              <w:ind w:right="126"/>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5</w:t>
            </w:r>
          </w:p>
        </w:tc>
        <w:tc>
          <w:tcPr>
            <w:tcW w:w="7764" w:type="dxa"/>
            <w:tcBorders>
              <w:top w:val="single" w:color="auto" w:sz="4" w:space="0"/>
              <w:left w:val="single" w:color="auto" w:sz="4" w:space="0"/>
              <w:right w:val="single" w:color="auto" w:sz="4" w:space="0"/>
            </w:tcBorders>
            <w:noWrap w:val="0"/>
            <w:vAlign w:val="center"/>
          </w:tcPr>
          <w:p w14:paraId="34879C01">
            <w:pPr>
              <w:tabs>
                <w:tab w:val="left" w:pos="1470"/>
              </w:tabs>
              <w:autoSpaceDE w:val="0"/>
              <w:autoSpaceDN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供应商对本项目就</w:t>
            </w:r>
            <w:r>
              <w:rPr>
                <w:rFonts w:hint="eastAsia" w:ascii="宋体" w:hAnsi="宋体" w:cs="宋体"/>
                <w:sz w:val="24"/>
                <w:szCs w:val="24"/>
                <w:highlight w:val="none"/>
                <w:lang w:val="en-US" w:eastAsia="zh-CN"/>
              </w:rPr>
              <w:t>有偿使用模式</w:t>
            </w:r>
            <w:r>
              <w:rPr>
                <w:rFonts w:hint="eastAsia" w:ascii="宋体" w:hAnsi="宋体" w:eastAsia="宋体" w:cs="宋体"/>
                <w:sz w:val="24"/>
                <w:szCs w:val="24"/>
                <w:highlight w:val="none"/>
              </w:rPr>
              <w:t>开展背景情况、目标要求进行解读、理解、分析。①科学、全面、合理得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 ②有所欠缺得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 ③有偏差得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 ④未提供不得分。</w:t>
            </w:r>
          </w:p>
        </w:tc>
      </w:tr>
      <w:tr w14:paraId="17F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49" w:type="dxa"/>
            <w:vMerge w:val="continue"/>
            <w:tcBorders>
              <w:left w:val="single" w:color="auto" w:sz="4" w:space="0"/>
              <w:right w:val="single" w:color="auto" w:sz="4" w:space="0"/>
            </w:tcBorders>
            <w:noWrap w:val="0"/>
            <w:vAlign w:val="center"/>
          </w:tcPr>
          <w:p w14:paraId="3EB08BA5">
            <w:pPr>
              <w:pStyle w:val="5"/>
              <w:kinsoku w:val="0"/>
              <w:overflowPunct w:val="0"/>
              <w:spacing w:line="240" w:lineRule="auto"/>
              <w:ind w:left="103" w:right="126" w:firstLine="480"/>
              <w:jc w:val="center"/>
              <w:rPr>
                <w:rFonts w:hint="eastAsia" w:ascii="宋体" w:hAnsi="宋体" w:eastAsia="宋体" w:cs="宋体"/>
                <w:b/>
                <w:bCs/>
                <w:sz w:val="24"/>
                <w:szCs w:val="24"/>
                <w:highlight w:val="none"/>
              </w:rPr>
            </w:pPr>
          </w:p>
        </w:tc>
        <w:tc>
          <w:tcPr>
            <w:tcW w:w="1216" w:type="dxa"/>
            <w:tcBorders>
              <w:left w:val="single" w:color="auto" w:sz="4" w:space="0"/>
              <w:right w:val="single" w:color="auto" w:sz="4" w:space="0"/>
            </w:tcBorders>
            <w:noWrap w:val="0"/>
            <w:vAlign w:val="center"/>
          </w:tcPr>
          <w:p w14:paraId="6CC8237E">
            <w:pPr>
              <w:pStyle w:val="5"/>
              <w:kinsoku w:val="0"/>
              <w:overflowPunct w:val="0"/>
              <w:spacing w:line="240" w:lineRule="auto"/>
              <w:ind w:right="126"/>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工作思路及技术路线</w:t>
            </w:r>
          </w:p>
        </w:tc>
        <w:tc>
          <w:tcPr>
            <w:tcW w:w="742" w:type="dxa"/>
            <w:tcBorders>
              <w:left w:val="single" w:color="auto" w:sz="4" w:space="0"/>
              <w:right w:val="single" w:color="auto" w:sz="4" w:space="0"/>
            </w:tcBorders>
            <w:noWrap w:val="0"/>
            <w:vAlign w:val="center"/>
          </w:tcPr>
          <w:p w14:paraId="5C2056C5">
            <w:pPr>
              <w:pStyle w:val="5"/>
              <w:kinsoku w:val="0"/>
              <w:overflowPunct w:val="0"/>
              <w:spacing w:line="240" w:lineRule="auto"/>
              <w:ind w:right="126"/>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w:t>
            </w:r>
          </w:p>
        </w:tc>
        <w:tc>
          <w:tcPr>
            <w:tcW w:w="7764" w:type="dxa"/>
            <w:tcBorders>
              <w:top w:val="single" w:color="auto" w:sz="4" w:space="0"/>
              <w:left w:val="single" w:color="auto" w:sz="4" w:space="0"/>
              <w:right w:val="single" w:color="auto" w:sz="4" w:space="0"/>
            </w:tcBorders>
            <w:noWrap w:val="0"/>
            <w:vAlign w:val="center"/>
          </w:tcPr>
          <w:p w14:paraId="2F877572">
            <w:pPr>
              <w:tabs>
                <w:tab w:val="left" w:pos="1470"/>
              </w:tabs>
              <w:autoSpaceDE w:val="0"/>
              <w:autoSpaceDN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对本项目提出研究思路及技术路线，应注重工作统筹协调及沟通，综合利用技术和方法。①科学、全面、合理得10分； ②有所欠缺得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分； ③有偏差得3分； ④未提供不得分。</w:t>
            </w:r>
          </w:p>
        </w:tc>
      </w:tr>
      <w:tr w14:paraId="4D54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49" w:type="dxa"/>
            <w:vMerge w:val="continue"/>
            <w:tcBorders>
              <w:left w:val="single" w:color="auto" w:sz="4" w:space="0"/>
              <w:right w:val="single" w:color="auto" w:sz="4" w:space="0"/>
            </w:tcBorders>
            <w:noWrap w:val="0"/>
            <w:vAlign w:val="center"/>
          </w:tcPr>
          <w:p w14:paraId="390633F7">
            <w:pPr>
              <w:pStyle w:val="5"/>
              <w:kinsoku w:val="0"/>
              <w:overflowPunct w:val="0"/>
              <w:spacing w:line="240" w:lineRule="auto"/>
              <w:ind w:left="103" w:right="126" w:firstLine="480"/>
              <w:jc w:val="center"/>
              <w:rPr>
                <w:rFonts w:hint="eastAsia" w:ascii="宋体" w:hAnsi="宋体" w:eastAsia="宋体" w:cs="宋体"/>
                <w:b/>
                <w:bCs/>
                <w:sz w:val="24"/>
                <w:szCs w:val="24"/>
                <w:highlight w:val="none"/>
              </w:rPr>
            </w:pPr>
          </w:p>
        </w:tc>
        <w:tc>
          <w:tcPr>
            <w:tcW w:w="1216" w:type="dxa"/>
            <w:tcBorders>
              <w:left w:val="single" w:color="auto" w:sz="4" w:space="0"/>
              <w:right w:val="single" w:color="auto" w:sz="4" w:space="0"/>
            </w:tcBorders>
            <w:noWrap w:val="0"/>
            <w:vAlign w:val="center"/>
          </w:tcPr>
          <w:p w14:paraId="1EF0E591">
            <w:pPr>
              <w:pStyle w:val="5"/>
              <w:kinsoku w:val="0"/>
              <w:overflowPunct w:val="0"/>
              <w:spacing w:line="240" w:lineRule="auto"/>
              <w:ind w:right="126"/>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重难点分析</w:t>
            </w:r>
          </w:p>
        </w:tc>
        <w:tc>
          <w:tcPr>
            <w:tcW w:w="742" w:type="dxa"/>
            <w:tcBorders>
              <w:left w:val="single" w:color="auto" w:sz="4" w:space="0"/>
              <w:right w:val="single" w:color="auto" w:sz="4" w:space="0"/>
            </w:tcBorders>
            <w:noWrap w:val="0"/>
            <w:vAlign w:val="center"/>
          </w:tcPr>
          <w:p w14:paraId="73F9552E">
            <w:pPr>
              <w:pStyle w:val="5"/>
              <w:kinsoku w:val="0"/>
              <w:overflowPunct w:val="0"/>
              <w:spacing w:line="240" w:lineRule="auto"/>
              <w:ind w:right="126"/>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5</w:t>
            </w:r>
          </w:p>
        </w:tc>
        <w:tc>
          <w:tcPr>
            <w:tcW w:w="7764" w:type="dxa"/>
            <w:tcBorders>
              <w:top w:val="single" w:color="auto" w:sz="4" w:space="0"/>
              <w:left w:val="single" w:color="auto" w:sz="4" w:space="0"/>
              <w:right w:val="single" w:color="auto" w:sz="4" w:space="0"/>
            </w:tcBorders>
            <w:noWrap w:val="0"/>
            <w:vAlign w:val="center"/>
          </w:tcPr>
          <w:p w14:paraId="54C954BF">
            <w:pPr>
              <w:tabs>
                <w:tab w:val="left" w:pos="1470"/>
              </w:tabs>
              <w:autoSpaceDE w:val="0"/>
              <w:autoSpaceDN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对本项目服务内容的重、难点进行分析，紧密围绕项目的实际情况进行重点和难点分析，并提出的应对措施以及合理化建议。①科学、全面、合理得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 ②有所欠缺得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 ③有偏差得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 ④未提供不得分。</w:t>
            </w:r>
          </w:p>
        </w:tc>
      </w:tr>
      <w:tr w14:paraId="0571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49" w:type="dxa"/>
            <w:vMerge w:val="continue"/>
            <w:tcBorders>
              <w:left w:val="single" w:color="auto" w:sz="4" w:space="0"/>
              <w:right w:val="single" w:color="auto" w:sz="4" w:space="0"/>
            </w:tcBorders>
            <w:noWrap w:val="0"/>
            <w:vAlign w:val="center"/>
          </w:tcPr>
          <w:p w14:paraId="09C93FD1">
            <w:pPr>
              <w:pStyle w:val="5"/>
              <w:kinsoku w:val="0"/>
              <w:overflowPunct w:val="0"/>
              <w:spacing w:line="240" w:lineRule="auto"/>
              <w:ind w:left="103" w:right="126" w:firstLine="480"/>
              <w:jc w:val="center"/>
              <w:rPr>
                <w:rFonts w:hint="eastAsia" w:ascii="宋体" w:hAnsi="宋体" w:eastAsia="宋体" w:cs="宋体"/>
                <w:b/>
                <w:bCs/>
                <w:sz w:val="24"/>
                <w:szCs w:val="24"/>
                <w:highlight w:val="none"/>
              </w:rPr>
            </w:pPr>
          </w:p>
        </w:tc>
        <w:tc>
          <w:tcPr>
            <w:tcW w:w="1216" w:type="dxa"/>
            <w:tcBorders>
              <w:left w:val="single" w:color="auto" w:sz="4" w:space="0"/>
              <w:right w:val="single" w:color="auto" w:sz="4" w:space="0"/>
            </w:tcBorders>
            <w:noWrap w:val="0"/>
            <w:vAlign w:val="center"/>
          </w:tcPr>
          <w:p w14:paraId="76B58428">
            <w:pPr>
              <w:pStyle w:val="5"/>
              <w:kinsoku w:val="0"/>
              <w:overflowPunct w:val="0"/>
              <w:spacing w:line="240" w:lineRule="auto"/>
              <w:ind w:right="126"/>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服务方案</w:t>
            </w:r>
          </w:p>
        </w:tc>
        <w:tc>
          <w:tcPr>
            <w:tcW w:w="742" w:type="dxa"/>
            <w:tcBorders>
              <w:left w:val="single" w:color="auto" w:sz="4" w:space="0"/>
              <w:right w:val="single" w:color="auto" w:sz="4" w:space="0"/>
            </w:tcBorders>
            <w:noWrap w:val="0"/>
            <w:vAlign w:val="center"/>
          </w:tcPr>
          <w:p w14:paraId="145A0D6E">
            <w:pPr>
              <w:pStyle w:val="5"/>
              <w:kinsoku w:val="0"/>
              <w:overflowPunct w:val="0"/>
              <w:spacing w:line="240" w:lineRule="auto"/>
              <w:ind w:right="126"/>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20</w:t>
            </w:r>
          </w:p>
        </w:tc>
        <w:tc>
          <w:tcPr>
            <w:tcW w:w="7764" w:type="dxa"/>
            <w:tcBorders>
              <w:top w:val="single" w:color="auto" w:sz="4" w:space="0"/>
              <w:left w:val="single" w:color="auto" w:sz="4" w:space="0"/>
              <w:right w:val="single" w:color="auto" w:sz="4" w:space="0"/>
            </w:tcBorders>
            <w:noWrap w:val="0"/>
            <w:vAlign w:val="center"/>
          </w:tcPr>
          <w:p w14:paraId="6A1DB425">
            <w:pPr>
              <w:widowControl/>
              <w:autoSpaceDE/>
              <w:autoSpaceDN/>
              <w:snapToGrid/>
              <w:spacing w:line="24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结合项目背景进行</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rPr>
              <w:t>方案编制，</w:t>
            </w:r>
            <w:r>
              <w:rPr>
                <w:rFonts w:hint="eastAsia" w:ascii="宋体" w:hAnsi="宋体" w:cs="宋体"/>
                <w:kern w:val="0"/>
                <w:sz w:val="24"/>
                <w:highlight w:val="none"/>
              </w:rPr>
              <w:t>每项①科学、全面、合理得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 ②有所欠缺得</w:t>
            </w:r>
            <w:r>
              <w:rPr>
                <w:rFonts w:hint="eastAsia" w:ascii="宋体" w:hAnsi="宋体" w:cs="宋体"/>
                <w:kern w:val="0"/>
                <w:sz w:val="24"/>
                <w:highlight w:val="none"/>
                <w:lang w:val="en-US" w:eastAsia="zh-CN"/>
              </w:rPr>
              <w:t>7</w:t>
            </w:r>
            <w:r>
              <w:rPr>
                <w:rFonts w:hint="eastAsia" w:ascii="宋体" w:hAnsi="宋体" w:cs="宋体"/>
                <w:kern w:val="0"/>
                <w:sz w:val="24"/>
                <w:highlight w:val="none"/>
              </w:rPr>
              <w:t>分； ③有偏差得</w:t>
            </w:r>
            <w:r>
              <w:rPr>
                <w:rFonts w:hint="eastAsia" w:ascii="宋体" w:hAnsi="宋体" w:cs="宋体"/>
                <w:kern w:val="0"/>
                <w:sz w:val="24"/>
                <w:highlight w:val="none"/>
                <w:lang w:val="en-US" w:eastAsia="zh-CN"/>
              </w:rPr>
              <w:t>3</w:t>
            </w:r>
            <w:r>
              <w:rPr>
                <w:rFonts w:hint="eastAsia" w:ascii="宋体" w:hAnsi="宋体" w:cs="宋体"/>
                <w:kern w:val="0"/>
                <w:sz w:val="24"/>
                <w:highlight w:val="none"/>
              </w:rPr>
              <w:t>分； ④未提供不得分；满分</w:t>
            </w:r>
            <w:r>
              <w:rPr>
                <w:rFonts w:hint="eastAsia" w:ascii="宋体" w:hAnsi="宋体" w:cs="宋体"/>
                <w:kern w:val="0"/>
                <w:sz w:val="24"/>
                <w:highlight w:val="none"/>
                <w:lang w:val="en-US" w:eastAsia="zh-CN"/>
              </w:rPr>
              <w:t>20</w:t>
            </w:r>
            <w:r>
              <w:rPr>
                <w:rFonts w:hint="eastAsia" w:ascii="宋体" w:hAnsi="宋体" w:cs="宋体"/>
                <w:kern w:val="0"/>
                <w:sz w:val="24"/>
                <w:highlight w:val="none"/>
              </w:rPr>
              <w:t>分。</w:t>
            </w:r>
          </w:p>
        </w:tc>
      </w:tr>
      <w:tr w14:paraId="5BFC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49" w:type="dxa"/>
            <w:vMerge w:val="continue"/>
            <w:tcBorders>
              <w:left w:val="single" w:color="auto" w:sz="4" w:space="0"/>
              <w:right w:val="single" w:color="auto" w:sz="4" w:space="0"/>
            </w:tcBorders>
            <w:noWrap w:val="0"/>
            <w:vAlign w:val="center"/>
          </w:tcPr>
          <w:p w14:paraId="22B1885C">
            <w:pPr>
              <w:pStyle w:val="5"/>
              <w:kinsoku w:val="0"/>
              <w:overflowPunct w:val="0"/>
              <w:spacing w:line="240" w:lineRule="auto"/>
              <w:ind w:left="103" w:right="126" w:firstLine="480"/>
              <w:jc w:val="center"/>
              <w:rPr>
                <w:rFonts w:hint="eastAsia" w:ascii="宋体" w:hAnsi="宋体" w:eastAsia="宋体" w:cs="宋体"/>
                <w:b/>
                <w:bCs/>
                <w:sz w:val="24"/>
                <w:szCs w:val="24"/>
                <w:highlight w:val="none"/>
              </w:rPr>
            </w:pPr>
          </w:p>
        </w:tc>
        <w:tc>
          <w:tcPr>
            <w:tcW w:w="1216" w:type="dxa"/>
            <w:tcBorders>
              <w:left w:val="single" w:color="auto" w:sz="4" w:space="0"/>
              <w:right w:val="single" w:color="auto" w:sz="4" w:space="0"/>
            </w:tcBorders>
            <w:noWrap w:val="0"/>
            <w:vAlign w:val="center"/>
          </w:tcPr>
          <w:p w14:paraId="4934C369">
            <w:pPr>
              <w:pStyle w:val="5"/>
              <w:kinsoku w:val="0"/>
              <w:overflowPunct w:val="0"/>
              <w:spacing w:line="240" w:lineRule="auto"/>
              <w:ind w:right="126"/>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进度计划及控制</w:t>
            </w:r>
          </w:p>
        </w:tc>
        <w:tc>
          <w:tcPr>
            <w:tcW w:w="742" w:type="dxa"/>
            <w:tcBorders>
              <w:left w:val="single" w:color="auto" w:sz="4" w:space="0"/>
              <w:right w:val="single" w:color="auto" w:sz="4" w:space="0"/>
            </w:tcBorders>
            <w:noWrap w:val="0"/>
            <w:vAlign w:val="center"/>
          </w:tcPr>
          <w:p w14:paraId="04A3267A">
            <w:pPr>
              <w:pStyle w:val="5"/>
              <w:kinsoku w:val="0"/>
              <w:overflowPunct w:val="0"/>
              <w:spacing w:line="240" w:lineRule="auto"/>
              <w:ind w:right="126"/>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10</w:t>
            </w:r>
          </w:p>
        </w:tc>
        <w:tc>
          <w:tcPr>
            <w:tcW w:w="7764" w:type="dxa"/>
            <w:tcBorders>
              <w:top w:val="single" w:color="auto" w:sz="4" w:space="0"/>
              <w:left w:val="single" w:color="auto" w:sz="4" w:space="0"/>
              <w:right w:val="single" w:color="auto" w:sz="4" w:space="0"/>
            </w:tcBorders>
            <w:noWrap w:val="0"/>
            <w:vAlign w:val="center"/>
          </w:tcPr>
          <w:p w14:paraId="7BA3D940">
            <w:pPr>
              <w:tabs>
                <w:tab w:val="left" w:pos="1470"/>
              </w:tabs>
              <w:autoSpaceDE w:val="0"/>
              <w:autoSpaceDN w:val="0"/>
              <w:snapToGrid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制定进度计划及控制措施，工作开展计划能严格按照成果提交时限要求，成果编制、上报审查等关键时间点有序推进，项目进度控制科学，时间节点清晰合理安排合理。①科学、全面、合理得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分； ②有所欠缺得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分； ③有偏差得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 ④未提供不得分。</w:t>
            </w:r>
          </w:p>
        </w:tc>
      </w:tr>
      <w:tr w14:paraId="3D28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49" w:type="dxa"/>
            <w:vMerge w:val="continue"/>
            <w:tcBorders>
              <w:left w:val="single" w:color="auto" w:sz="4" w:space="0"/>
              <w:right w:val="single" w:color="auto" w:sz="4" w:space="0"/>
            </w:tcBorders>
            <w:noWrap w:val="0"/>
            <w:vAlign w:val="center"/>
          </w:tcPr>
          <w:p w14:paraId="7B73CD2A">
            <w:pPr>
              <w:spacing w:line="240" w:lineRule="auto"/>
              <w:jc w:val="center"/>
              <w:rPr>
                <w:rFonts w:hint="eastAsia" w:ascii="宋体" w:hAnsi="宋体" w:eastAsia="宋体" w:cs="宋体"/>
                <w:b/>
                <w:bCs/>
                <w:sz w:val="24"/>
                <w:szCs w:val="24"/>
                <w:highlight w:val="none"/>
              </w:rPr>
            </w:pPr>
          </w:p>
        </w:tc>
        <w:tc>
          <w:tcPr>
            <w:tcW w:w="1216" w:type="dxa"/>
            <w:tcBorders>
              <w:left w:val="single" w:color="auto" w:sz="4" w:space="0"/>
              <w:right w:val="single" w:color="auto" w:sz="4" w:space="0"/>
            </w:tcBorders>
            <w:noWrap w:val="0"/>
            <w:vAlign w:val="center"/>
          </w:tcPr>
          <w:p w14:paraId="6BCD4F69">
            <w:pPr>
              <w:pStyle w:val="5"/>
              <w:kinsoku w:val="0"/>
              <w:overflowPunct w:val="0"/>
              <w:spacing w:line="240" w:lineRule="auto"/>
              <w:ind w:right="126"/>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w:t>
            </w:r>
            <w:r>
              <w:rPr>
                <w:rFonts w:hint="eastAsia" w:ascii="宋体" w:hAnsi="宋体" w:cs="宋体"/>
                <w:b/>
                <w:bCs/>
                <w:sz w:val="24"/>
                <w:szCs w:val="24"/>
                <w:highlight w:val="none"/>
                <w:lang w:val="en-US" w:eastAsia="zh-CN"/>
              </w:rPr>
              <w:t>保障</w:t>
            </w:r>
            <w:r>
              <w:rPr>
                <w:rFonts w:hint="eastAsia" w:ascii="宋体" w:hAnsi="宋体" w:eastAsia="宋体" w:cs="宋体"/>
                <w:b/>
                <w:bCs/>
                <w:sz w:val="24"/>
                <w:szCs w:val="24"/>
                <w:highlight w:val="none"/>
              </w:rPr>
              <w:t>方案</w:t>
            </w:r>
          </w:p>
        </w:tc>
        <w:tc>
          <w:tcPr>
            <w:tcW w:w="742" w:type="dxa"/>
            <w:tcBorders>
              <w:left w:val="single" w:color="auto" w:sz="4" w:space="0"/>
              <w:right w:val="single" w:color="auto" w:sz="4" w:space="0"/>
            </w:tcBorders>
            <w:noWrap w:val="0"/>
            <w:vAlign w:val="center"/>
          </w:tcPr>
          <w:p w14:paraId="2C5E1138">
            <w:pPr>
              <w:pStyle w:val="5"/>
              <w:kinsoku w:val="0"/>
              <w:overflowPunct w:val="0"/>
              <w:spacing w:line="240" w:lineRule="auto"/>
              <w:ind w:right="126"/>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10</w:t>
            </w:r>
          </w:p>
        </w:tc>
        <w:tc>
          <w:tcPr>
            <w:tcW w:w="7764" w:type="dxa"/>
            <w:tcBorders>
              <w:top w:val="single" w:color="auto" w:sz="4" w:space="0"/>
              <w:left w:val="single" w:color="auto" w:sz="4" w:space="0"/>
              <w:right w:val="single" w:color="auto" w:sz="4" w:space="0"/>
            </w:tcBorders>
            <w:noWrap w:val="0"/>
            <w:vAlign w:val="center"/>
          </w:tcPr>
          <w:p w14:paraId="77D34997">
            <w:pPr>
              <w:tabs>
                <w:tab w:val="left" w:pos="1470"/>
              </w:tabs>
              <w:autoSpaceDE w:val="0"/>
              <w:autoSpaceDN w:val="0"/>
              <w:snapToGrid w:val="0"/>
              <w:spacing w:line="240" w:lineRule="auto"/>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应具备本项目服务能力并</w:t>
            </w:r>
            <w:r>
              <w:rPr>
                <w:rFonts w:hint="eastAsia" w:ascii="宋体" w:hAnsi="宋体" w:eastAsia="宋体" w:cs="宋体"/>
                <w:sz w:val="24"/>
                <w:szCs w:val="24"/>
                <w:highlight w:val="none"/>
              </w:rPr>
              <w:t>制定质量控制制度。质量控制制度应符合相关标准与法规，质量保证体系对项目做到全过程控制，质量控制措施覆盖全面、对项目履约过程实行严格的管控并提供有效技术支撑保证项目成果合格、合规、合乎项目需求。①科学、全面、合理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分； ②有所欠缺得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分； ③有偏差得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 ④未提供不得分。</w:t>
            </w:r>
          </w:p>
        </w:tc>
      </w:tr>
      <w:tr w14:paraId="2D2B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dxa"/>
            <w:vMerge w:val="continue"/>
            <w:tcBorders>
              <w:left w:val="single" w:color="auto" w:sz="4" w:space="0"/>
              <w:right w:val="single" w:color="auto" w:sz="4" w:space="0"/>
            </w:tcBorders>
            <w:noWrap w:val="0"/>
            <w:vAlign w:val="center"/>
          </w:tcPr>
          <w:p w14:paraId="3791B284">
            <w:pPr>
              <w:spacing w:line="240" w:lineRule="auto"/>
              <w:jc w:val="center"/>
              <w:rPr>
                <w:rFonts w:hint="eastAsia" w:ascii="宋体" w:hAnsi="宋体" w:eastAsia="宋体" w:cs="宋体"/>
                <w:b/>
                <w:bCs/>
                <w:sz w:val="24"/>
                <w:szCs w:val="24"/>
                <w:highlight w:val="none"/>
              </w:rPr>
            </w:pPr>
          </w:p>
        </w:tc>
        <w:tc>
          <w:tcPr>
            <w:tcW w:w="1216" w:type="dxa"/>
            <w:tcBorders>
              <w:left w:val="single" w:color="auto" w:sz="4" w:space="0"/>
              <w:right w:val="single" w:color="auto" w:sz="4" w:space="0"/>
            </w:tcBorders>
            <w:noWrap w:val="0"/>
            <w:vAlign w:val="center"/>
          </w:tcPr>
          <w:p w14:paraId="504FB7D0">
            <w:pPr>
              <w:pStyle w:val="5"/>
              <w:kinsoku w:val="0"/>
              <w:overflowPunct w:val="0"/>
              <w:spacing w:line="240" w:lineRule="auto"/>
              <w:ind w:right="126"/>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服务承诺</w:t>
            </w:r>
          </w:p>
        </w:tc>
        <w:tc>
          <w:tcPr>
            <w:tcW w:w="742" w:type="dxa"/>
            <w:tcBorders>
              <w:left w:val="single" w:color="auto" w:sz="4" w:space="0"/>
              <w:right w:val="single" w:color="auto" w:sz="4" w:space="0"/>
            </w:tcBorders>
            <w:noWrap w:val="0"/>
            <w:vAlign w:val="center"/>
          </w:tcPr>
          <w:p w14:paraId="6F61F351">
            <w:pPr>
              <w:pStyle w:val="5"/>
              <w:kinsoku w:val="0"/>
              <w:overflowPunct w:val="0"/>
              <w:spacing w:line="240" w:lineRule="auto"/>
              <w:ind w:right="126"/>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w:t>
            </w:r>
          </w:p>
        </w:tc>
        <w:tc>
          <w:tcPr>
            <w:tcW w:w="7764" w:type="dxa"/>
            <w:tcBorders>
              <w:top w:val="single" w:color="auto" w:sz="4" w:space="0"/>
              <w:left w:val="single" w:color="auto" w:sz="4" w:space="0"/>
              <w:bottom w:val="single" w:color="auto" w:sz="4" w:space="0"/>
              <w:right w:val="single" w:color="auto" w:sz="4" w:space="0"/>
            </w:tcBorders>
            <w:noWrap w:val="0"/>
            <w:vAlign w:val="center"/>
          </w:tcPr>
          <w:p w14:paraId="378BF147">
            <w:pPr>
              <w:autoSpaceDE/>
              <w:autoSpaceDN/>
              <w:adjustRightInd w:val="0"/>
              <w:snapToGrid/>
              <w:spacing w:line="240" w:lineRule="auto"/>
              <w:jc w:val="left"/>
              <w:rPr>
                <w:rFonts w:hint="eastAsia" w:ascii="宋体" w:hAnsi="宋体" w:eastAsia="宋体" w:cs="宋体"/>
                <w:sz w:val="24"/>
                <w:szCs w:val="24"/>
                <w:highlight w:val="none"/>
              </w:rPr>
            </w:pPr>
            <w:r>
              <w:rPr>
                <w:rFonts w:hint="eastAsia" w:ascii="宋体" w:hAnsi="宋体" w:eastAsia="宋体" w:cs="宋体"/>
                <w:snapToGrid w:val="0"/>
                <w:color w:val="000000"/>
                <w:sz w:val="24"/>
                <w:szCs w:val="24"/>
                <w:highlight w:val="none"/>
              </w:rPr>
              <w:t>对</w:t>
            </w:r>
            <w:r>
              <w:rPr>
                <w:rFonts w:hint="eastAsia" w:ascii="宋体" w:hAnsi="宋体" w:eastAsia="宋体" w:cs="宋体"/>
                <w:snapToGrid w:val="0"/>
                <w:color w:val="000000"/>
                <w:sz w:val="24"/>
                <w:szCs w:val="24"/>
                <w:highlight w:val="none"/>
                <w:lang w:val="en-US" w:eastAsia="zh-CN"/>
              </w:rPr>
              <w:t>项目的提交时间、服务</w:t>
            </w:r>
            <w:r>
              <w:rPr>
                <w:rFonts w:hint="eastAsia" w:ascii="宋体" w:hAnsi="宋体" w:eastAsia="宋体" w:cs="宋体"/>
                <w:snapToGrid w:val="0"/>
                <w:color w:val="000000"/>
                <w:sz w:val="24"/>
                <w:szCs w:val="24"/>
                <w:highlight w:val="none"/>
              </w:rPr>
              <w:t>质量</w:t>
            </w:r>
            <w:r>
              <w:rPr>
                <w:rFonts w:hint="eastAsia" w:ascii="宋体" w:hAnsi="宋体" w:eastAsia="宋体" w:cs="宋体"/>
                <w:snapToGrid w:val="0"/>
                <w:color w:val="000000"/>
                <w:sz w:val="24"/>
                <w:szCs w:val="24"/>
                <w:highlight w:val="none"/>
                <w:lang w:val="en-US" w:eastAsia="zh-CN"/>
              </w:rPr>
              <w:t>及后续技术保障有</w:t>
            </w:r>
            <w:r>
              <w:rPr>
                <w:rFonts w:hint="eastAsia" w:ascii="宋体" w:hAnsi="宋体" w:eastAsia="宋体" w:cs="宋体"/>
                <w:snapToGrid w:val="0"/>
                <w:color w:val="000000"/>
                <w:sz w:val="24"/>
                <w:szCs w:val="24"/>
                <w:highlight w:val="none"/>
              </w:rPr>
              <w:t>明确承诺</w:t>
            </w:r>
            <w:r>
              <w:rPr>
                <w:rFonts w:hint="eastAsia" w:ascii="宋体" w:hAnsi="宋体" w:cs="宋体"/>
                <w:snapToGrid w:val="0"/>
                <w:color w:val="000000"/>
                <w:sz w:val="24"/>
                <w:szCs w:val="24"/>
                <w:highlight w:val="none"/>
                <w:lang w:val="en-US" w:eastAsia="zh-CN"/>
              </w:rPr>
              <w:t>及违约处罚措施</w:t>
            </w:r>
            <w:r>
              <w:rPr>
                <w:rFonts w:hint="eastAsia" w:ascii="宋体" w:hAnsi="宋体" w:eastAsia="宋体" w:cs="宋体"/>
                <w:snapToGrid w:val="0"/>
                <w:color w:val="000000"/>
                <w:sz w:val="24"/>
                <w:szCs w:val="24"/>
                <w:highlight w:val="none"/>
              </w:rPr>
              <w:t>，根据承诺情况进行评审。</w:t>
            </w:r>
            <w:r>
              <w:rPr>
                <w:rFonts w:hint="eastAsia" w:ascii="宋体" w:hAnsi="宋体" w:eastAsia="宋体" w:cs="宋体"/>
                <w:sz w:val="24"/>
                <w:szCs w:val="24"/>
                <w:highlight w:val="none"/>
              </w:rPr>
              <w:t>①科学、全面、合理得5分； ②有所欠缺得3分； ③有偏差得1分； ④未提供不得分。</w:t>
            </w:r>
          </w:p>
        </w:tc>
      </w:tr>
      <w:tr w14:paraId="04A0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71" w:type="dxa"/>
            <w:gridSpan w:val="4"/>
            <w:tcBorders>
              <w:left w:val="single" w:color="auto" w:sz="4" w:space="0"/>
              <w:right w:val="single" w:color="auto" w:sz="4" w:space="0"/>
            </w:tcBorders>
            <w:noWrap w:val="0"/>
            <w:vAlign w:val="center"/>
          </w:tcPr>
          <w:p w14:paraId="3A186F96">
            <w:pPr>
              <w:tabs>
                <w:tab w:val="left" w:pos="1470"/>
              </w:tabs>
              <w:autoSpaceDE w:val="0"/>
              <w:autoSpaceDN w:val="0"/>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满分100分</w:t>
            </w:r>
          </w:p>
        </w:tc>
      </w:tr>
    </w:tbl>
    <w:p w14:paraId="61EE3504">
      <w:pPr>
        <w:ind w:firstLine="640" w:firstLineChars="200"/>
        <w:jc w:val="left"/>
        <w:rPr>
          <w:rFonts w:hint="default" w:ascii="仿宋" w:hAnsi="仿宋" w:eastAsia="仿宋" w:cs="仿宋"/>
          <w:sz w:val="32"/>
          <w:szCs w:val="32"/>
          <w:lang w:val="en-US" w:eastAsia="zh-CN"/>
        </w:rPr>
      </w:pPr>
    </w:p>
    <w:p w14:paraId="4F9F1E0C">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942C8"/>
    <w:rsid w:val="003E3B39"/>
    <w:rsid w:val="00671154"/>
    <w:rsid w:val="019B7879"/>
    <w:rsid w:val="033B339E"/>
    <w:rsid w:val="03D46EEE"/>
    <w:rsid w:val="05110628"/>
    <w:rsid w:val="0964316F"/>
    <w:rsid w:val="0A2D4312"/>
    <w:rsid w:val="0A591275"/>
    <w:rsid w:val="0B4876FB"/>
    <w:rsid w:val="0DD6521B"/>
    <w:rsid w:val="0F0552C3"/>
    <w:rsid w:val="0F427F26"/>
    <w:rsid w:val="0FC45E9A"/>
    <w:rsid w:val="0FFF4781"/>
    <w:rsid w:val="100A414F"/>
    <w:rsid w:val="112B1BCE"/>
    <w:rsid w:val="12F70B3E"/>
    <w:rsid w:val="12FD58BD"/>
    <w:rsid w:val="15583D4F"/>
    <w:rsid w:val="16021790"/>
    <w:rsid w:val="171E57F6"/>
    <w:rsid w:val="178E7936"/>
    <w:rsid w:val="18842AF3"/>
    <w:rsid w:val="18CF09EF"/>
    <w:rsid w:val="18FD40F0"/>
    <w:rsid w:val="192942C8"/>
    <w:rsid w:val="192F7CD7"/>
    <w:rsid w:val="1A161D04"/>
    <w:rsid w:val="1A490EC3"/>
    <w:rsid w:val="1A7F39D7"/>
    <w:rsid w:val="1B92191C"/>
    <w:rsid w:val="1E167632"/>
    <w:rsid w:val="20D562BD"/>
    <w:rsid w:val="21530829"/>
    <w:rsid w:val="21877A80"/>
    <w:rsid w:val="237938C4"/>
    <w:rsid w:val="2519414E"/>
    <w:rsid w:val="269C740A"/>
    <w:rsid w:val="29B2436E"/>
    <w:rsid w:val="2AF6499F"/>
    <w:rsid w:val="2B077899"/>
    <w:rsid w:val="2B6B5AA0"/>
    <w:rsid w:val="2C2E2C4C"/>
    <w:rsid w:val="2DAA0E92"/>
    <w:rsid w:val="2E250E11"/>
    <w:rsid w:val="314C272E"/>
    <w:rsid w:val="33F2497C"/>
    <w:rsid w:val="343E271F"/>
    <w:rsid w:val="3690731E"/>
    <w:rsid w:val="37777E3A"/>
    <w:rsid w:val="379F727B"/>
    <w:rsid w:val="3B402841"/>
    <w:rsid w:val="3C6F6F6F"/>
    <w:rsid w:val="3C78500A"/>
    <w:rsid w:val="3D15294C"/>
    <w:rsid w:val="3EF2083A"/>
    <w:rsid w:val="40996157"/>
    <w:rsid w:val="455F4862"/>
    <w:rsid w:val="45F67DA0"/>
    <w:rsid w:val="48655947"/>
    <w:rsid w:val="48791B2F"/>
    <w:rsid w:val="490358D3"/>
    <w:rsid w:val="494F7FBD"/>
    <w:rsid w:val="49F15FCB"/>
    <w:rsid w:val="4EB073A3"/>
    <w:rsid w:val="51A16B34"/>
    <w:rsid w:val="558C3F6B"/>
    <w:rsid w:val="563B156F"/>
    <w:rsid w:val="57085E8E"/>
    <w:rsid w:val="57AA7947"/>
    <w:rsid w:val="58E50573"/>
    <w:rsid w:val="5AD51B92"/>
    <w:rsid w:val="5B3C136B"/>
    <w:rsid w:val="5BB21243"/>
    <w:rsid w:val="5E5673F0"/>
    <w:rsid w:val="605867D8"/>
    <w:rsid w:val="61E02B12"/>
    <w:rsid w:val="62002AB6"/>
    <w:rsid w:val="64E96C0C"/>
    <w:rsid w:val="652D527F"/>
    <w:rsid w:val="67E31E48"/>
    <w:rsid w:val="69E72CAE"/>
    <w:rsid w:val="6A1F36CB"/>
    <w:rsid w:val="6CC8203D"/>
    <w:rsid w:val="6F4B6D1B"/>
    <w:rsid w:val="70BA7BF7"/>
    <w:rsid w:val="72734738"/>
    <w:rsid w:val="73C91A55"/>
    <w:rsid w:val="745408CF"/>
    <w:rsid w:val="78130DB6"/>
    <w:rsid w:val="78740575"/>
    <w:rsid w:val="78840C52"/>
    <w:rsid w:val="7C2658F5"/>
    <w:rsid w:val="7CB22F3A"/>
    <w:rsid w:val="7CCB472F"/>
    <w:rsid w:val="7D367CEC"/>
    <w:rsid w:val="7E166C41"/>
    <w:rsid w:val="7E9D6BE0"/>
    <w:rsid w:val="7F543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Lines/>
      <w:spacing w:before="120" w:after="120" w:line="300" w:lineRule="auto"/>
      <w:jc w:val="center"/>
      <w:outlineLvl w:val="0"/>
    </w:pPr>
    <w:rPr>
      <w:b/>
      <w:bCs/>
      <w:kern w:val="44"/>
      <w:sz w:val="36"/>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2025-11-07T09:35:00Z</dcterms:created>
  <dc:creator>super妞妞酱</dc:creator>
  <cp:lastModifiedBy>super妞妞酱</cp:lastModifiedBy>
  <dcterms:modified xsi:type="dcterms:W3CDTF">2025-11-07T09:35:36Z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BCF3625882AC4E4D83D12AE1BF099A69_11</vt:lpwstr>
  </property>
  <property fmtid="{D5CDD505-2E9C-101B-9397-08002B2CF9AE}" pid="4" name="KSOTemplateDocerSaveRecord">
    <vt:lpwstr>eyJoZGlkIjoiYjY4YjgyM2U0YTE0Yzc1ODA1YjhmMjI1MzIzZjU1MWYiLCJ1c2VySWQiOiI0MjE3NDcxMTIifQ==</vt:lpwstr>
  </property>
</Properties>
</file>