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92" w:rsidRDefault="00EC1F69">
      <w:pPr>
        <w:widowControl/>
        <w:spacing w:line="560" w:lineRule="exact"/>
        <w:jc w:val="center"/>
        <w:rPr>
          <w:rFonts w:ascii="仿宋" w:eastAsia="仿宋" w:hAnsi="仿宋" w:cs="仿宋"/>
          <w:kern w:val="0"/>
          <w:sz w:val="32"/>
          <w:szCs w:val="32"/>
          <w:shd w:val="clear" w:color="auto" w:fill="FFFFFF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/>
        </w:rPr>
        <w:t>于</w:t>
      </w:r>
      <w:r>
        <w:rPr>
          <w:rFonts w:ascii="仿宋" w:eastAsia="仿宋" w:hAnsi="仿宋" w:cs="仿宋" w:hint="eastAsia"/>
          <w:sz w:val="32"/>
          <w:szCs w:val="32"/>
        </w:rPr>
        <w:t>汉阳高铁站功能区片区</w:t>
      </w:r>
      <w:r>
        <w:rPr>
          <w:rFonts w:ascii="仿宋" w:eastAsia="仿宋" w:hAnsi="仿宋" w:cs="仿宋" w:hint="eastAsia"/>
          <w:sz w:val="32"/>
          <w:szCs w:val="32"/>
        </w:rPr>
        <w:t>综合开发项目</w:t>
      </w:r>
      <w:r>
        <w:rPr>
          <w:rFonts w:ascii="仿宋" w:eastAsia="仿宋" w:hAnsi="仿宋" w:cs="仿宋" w:hint="eastAsia"/>
          <w:sz w:val="32"/>
          <w:szCs w:val="32"/>
        </w:rPr>
        <w:t>实施方案</w:t>
      </w:r>
      <w:r>
        <w:rPr>
          <w:rFonts w:ascii="仿宋" w:eastAsia="仿宋" w:hAnsi="仿宋" w:cs="仿宋" w:hint="eastAsia"/>
          <w:sz w:val="32"/>
          <w:szCs w:val="32"/>
        </w:rPr>
        <w:t>咨询服务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/>
        </w:rPr>
        <w:t>招标遴选代理机构的</w:t>
      </w:r>
    </w:p>
    <w:p w:rsidR="006C5992" w:rsidRDefault="00EC1F69">
      <w:pPr>
        <w:widowControl/>
        <w:spacing w:line="560" w:lineRule="exact"/>
        <w:jc w:val="center"/>
        <w:rPr>
          <w:rFonts w:ascii="仿宋" w:eastAsia="仿宋" w:hAnsi="仿宋" w:cs="仿宋"/>
          <w:kern w:val="0"/>
          <w:sz w:val="32"/>
          <w:szCs w:val="32"/>
          <w:shd w:val="clear" w:color="auto" w:fill="FFFFFF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/>
        </w:rPr>
        <w:t>公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/>
        </w:rPr>
        <w:t xml:space="preserve">    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/>
        </w:rPr>
        <w:t>告</w:t>
      </w:r>
    </w:p>
    <w:p w:rsidR="006C5992" w:rsidRDefault="006C5992">
      <w:pPr>
        <w:widowControl/>
        <w:shd w:val="clear" w:color="auto" w:fill="FFFFFF"/>
        <w:spacing w:line="560" w:lineRule="exact"/>
        <w:ind w:firstLine="640"/>
        <w:jc w:val="left"/>
        <w:rPr>
          <w:rFonts w:ascii="仿宋" w:eastAsia="仿宋" w:hAnsi="仿宋" w:cs="仿宋"/>
          <w:b/>
          <w:bCs/>
          <w:color w:val="666666"/>
          <w:kern w:val="0"/>
          <w:sz w:val="32"/>
          <w:szCs w:val="32"/>
          <w:shd w:val="clear" w:color="auto" w:fill="FFFFFF"/>
          <w:lang/>
        </w:rPr>
      </w:pPr>
    </w:p>
    <w:p w:rsidR="006C5992" w:rsidRDefault="006C5992">
      <w:pPr>
        <w:spacing w:line="74" w:lineRule="exact"/>
        <w:rPr>
          <w:szCs w:val="21"/>
        </w:rPr>
      </w:pPr>
    </w:p>
    <w:p w:rsidR="006C5992" w:rsidRDefault="006C5992">
      <w:pPr>
        <w:spacing w:line="74" w:lineRule="exact"/>
        <w:rPr>
          <w:szCs w:val="21"/>
        </w:rPr>
      </w:pPr>
    </w:p>
    <w:tbl>
      <w:tblPr>
        <w:tblStyle w:val="TableNormal"/>
        <w:tblW w:w="1417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82"/>
        <w:gridCol w:w="1500"/>
        <w:gridCol w:w="1783"/>
        <w:gridCol w:w="1617"/>
        <w:gridCol w:w="1400"/>
        <w:gridCol w:w="1350"/>
        <w:gridCol w:w="1550"/>
        <w:gridCol w:w="1909"/>
        <w:gridCol w:w="986"/>
      </w:tblGrid>
      <w:tr w:rsidR="006C5992">
        <w:trPr>
          <w:trHeight w:val="675"/>
          <w:jc w:val="center"/>
        </w:trPr>
        <w:tc>
          <w:tcPr>
            <w:tcW w:w="2082" w:type="dxa"/>
            <w:vMerge w:val="restart"/>
            <w:tcBorders>
              <w:bottom w:val="nil"/>
              <w:tl2br w:val="single" w:sz="4" w:space="0" w:color="000000"/>
            </w:tcBorders>
          </w:tcPr>
          <w:p w:rsidR="006C5992" w:rsidRDefault="00EC1F69">
            <w:pPr>
              <w:spacing w:before="20" w:line="220" w:lineRule="auto"/>
              <w:ind w:leftChars="20" w:left="42" w:rightChars="20" w:right="42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pacing w:val="-1"/>
                <w:szCs w:val="21"/>
              </w:rPr>
              <w:t>评分指标</w:t>
            </w:r>
          </w:p>
          <w:p w:rsidR="006C5992" w:rsidRDefault="006C5992">
            <w:pPr>
              <w:spacing w:line="258" w:lineRule="auto"/>
              <w:ind w:leftChars="20" w:left="42" w:rightChars="20" w:right="42"/>
              <w:rPr>
                <w:rFonts w:ascii="仿宋" w:eastAsia="仿宋" w:hAnsi="仿宋" w:cs="仿宋"/>
                <w:szCs w:val="21"/>
              </w:rPr>
            </w:pPr>
          </w:p>
          <w:p w:rsidR="006C5992" w:rsidRDefault="006C5992">
            <w:pPr>
              <w:spacing w:line="258" w:lineRule="auto"/>
              <w:ind w:leftChars="20" w:left="42" w:rightChars="20" w:right="42"/>
              <w:rPr>
                <w:rFonts w:ascii="仿宋" w:eastAsia="仿宋" w:hAnsi="仿宋" w:cs="仿宋"/>
                <w:szCs w:val="21"/>
              </w:rPr>
            </w:pPr>
          </w:p>
          <w:p w:rsidR="006C5992" w:rsidRDefault="006C5992">
            <w:pPr>
              <w:spacing w:line="258" w:lineRule="auto"/>
              <w:ind w:leftChars="20" w:left="42" w:rightChars="20" w:right="42"/>
              <w:rPr>
                <w:rFonts w:ascii="仿宋" w:eastAsia="仿宋" w:hAnsi="仿宋" w:cs="仿宋"/>
                <w:szCs w:val="21"/>
              </w:rPr>
            </w:pPr>
          </w:p>
          <w:p w:rsidR="006C5992" w:rsidRDefault="006C5992">
            <w:pPr>
              <w:spacing w:line="258" w:lineRule="auto"/>
              <w:ind w:leftChars="20" w:left="42" w:rightChars="20" w:right="42"/>
              <w:rPr>
                <w:rFonts w:ascii="仿宋" w:eastAsia="仿宋" w:hAnsi="仿宋" w:cs="仿宋"/>
                <w:szCs w:val="21"/>
              </w:rPr>
            </w:pPr>
          </w:p>
          <w:p w:rsidR="006C5992" w:rsidRDefault="006C5992">
            <w:pPr>
              <w:spacing w:line="258" w:lineRule="auto"/>
              <w:ind w:leftChars="20" w:left="42" w:rightChars="20" w:right="42"/>
              <w:rPr>
                <w:rFonts w:ascii="仿宋" w:eastAsia="仿宋" w:hAnsi="仿宋" w:cs="仿宋"/>
                <w:szCs w:val="21"/>
              </w:rPr>
            </w:pPr>
          </w:p>
          <w:p w:rsidR="006C5992" w:rsidRDefault="006C5992">
            <w:pPr>
              <w:spacing w:line="258" w:lineRule="auto"/>
              <w:ind w:leftChars="20" w:left="42" w:rightChars="20" w:right="42"/>
              <w:rPr>
                <w:rFonts w:ascii="仿宋" w:eastAsia="仿宋" w:hAnsi="仿宋" w:cs="仿宋"/>
                <w:szCs w:val="21"/>
              </w:rPr>
            </w:pPr>
          </w:p>
          <w:p w:rsidR="006C5992" w:rsidRDefault="00EC1F69">
            <w:pPr>
              <w:spacing w:before="39" w:line="220" w:lineRule="auto"/>
              <w:ind w:leftChars="20" w:left="42" w:rightChars="20" w:right="42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pacing w:val="-1"/>
                <w:szCs w:val="21"/>
              </w:rPr>
              <w:t>遵选单位</w:t>
            </w:r>
          </w:p>
        </w:tc>
        <w:tc>
          <w:tcPr>
            <w:tcW w:w="3283" w:type="dxa"/>
            <w:gridSpan w:val="2"/>
            <w:vAlign w:val="center"/>
          </w:tcPr>
          <w:p w:rsidR="006C5992" w:rsidRDefault="00EC1F69">
            <w:pPr>
              <w:spacing w:before="219" w:line="219" w:lineRule="auto"/>
              <w:ind w:leftChars="20" w:left="42" w:rightChars="20" w:right="42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pacing w:val="1"/>
                <w:szCs w:val="21"/>
              </w:rPr>
              <w:t>专业技术力量基本情况</w:t>
            </w:r>
            <w:r>
              <w:rPr>
                <w:rFonts w:ascii="仿宋" w:eastAsia="仿宋" w:hAnsi="仿宋" w:cs="仿宋" w:hint="eastAsia"/>
                <w:spacing w:val="1"/>
                <w:szCs w:val="21"/>
              </w:rPr>
              <w:t>(15</w:t>
            </w:r>
            <w:r>
              <w:rPr>
                <w:rFonts w:ascii="仿宋" w:eastAsia="仿宋" w:hAnsi="仿宋" w:cs="仿宋" w:hint="eastAsia"/>
                <w:spacing w:val="1"/>
                <w:szCs w:val="21"/>
              </w:rPr>
              <w:t>分</w:t>
            </w:r>
            <w:r>
              <w:rPr>
                <w:rFonts w:ascii="仿宋" w:eastAsia="仿宋" w:hAnsi="仿宋" w:cs="仿宋" w:hint="eastAsia"/>
                <w:spacing w:val="1"/>
                <w:szCs w:val="21"/>
              </w:rPr>
              <w:t>)</w:t>
            </w:r>
          </w:p>
        </w:tc>
        <w:tc>
          <w:tcPr>
            <w:tcW w:w="1617" w:type="dxa"/>
            <w:vAlign w:val="center"/>
          </w:tcPr>
          <w:p w:rsidR="006C5992" w:rsidRDefault="00EC1F69">
            <w:pPr>
              <w:spacing w:before="220" w:line="219" w:lineRule="auto"/>
              <w:ind w:leftChars="20" w:left="42" w:rightChars="20" w:right="42"/>
              <w:jc w:val="center"/>
              <w:rPr>
                <w:rFonts w:ascii="仿宋" w:eastAsia="仿宋" w:hAnsi="仿宋" w:cs="仿宋"/>
                <w:spacing w:val="9"/>
                <w:szCs w:val="21"/>
              </w:rPr>
            </w:pPr>
            <w:r>
              <w:rPr>
                <w:rFonts w:ascii="仿宋" w:eastAsia="仿宋" w:hAnsi="仿宋" w:cs="仿宋" w:hint="eastAsia"/>
                <w:spacing w:val="9"/>
                <w:szCs w:val="21"/>
              </w:rPr>
              <w:t>类似工程业绩</w:t>
            </w:r>
          </w:p>
          <w:p w:rsidR="006C5992" w:rsidRDefault="00EC1F69">
            <w:pPr>
              <w:spacing w:before="220" w:line="219" w:lineRule="auto"/>
              <w:ind w:leftChars="20" w:left="42" w:rightChars="20" w:right="42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pacing w:val="9"/>
                <w:szCs w:val="21"/>
              </w:rPr>
              <w:t>(15</w:t>
            </w:r>
            <w:r>
              <w:rPr>
                <w:rFonts w:ascii="仿宋" w:eastAsia="仿宋" w:hAnsi="仿宋" w:cs="仿宋" w:hint="eastAsia"/>
                <w:spacing w:val="9"/>
                <w:szCs w:val="21"/>
              </w:rPr>
              <w:t>分</w:t>
            </w:r>
            <w:r>
              <w:rPr>
                <w:rFonts w:ascii="仿宋" w:eastAsia="仿宋" w:hAnsi="仿宋" w:cs="仿宋" w:hint="eastAsia"/>
                <w:spacing w:val="9"/>
                <w:szCs w:val="21"/>
              </w:rPr>
              <w:t>)</w:t>
            </w:r>
          </w:p>
        </w:tc>
        <w:tc>
          <w:tcPr>
            <w:tcW w:w="4300" w:type="dxa"/>
            <w:gridSpan w:val="3"/>
            <w:vAlign w:val="center"/>
          </w:tcPr>
          <w:p w:rsidR="006C5992" w:rsidRDefault="00EC1F69">
            <w:pPr>
              <w:spacing w:before="220" w:line="220" w:lineRule="auto"/>
              <w:ind w:leftChars="20" w:left="42" w:rightChars="20" w:right="42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pacing w:val="2"/>
                <w:szCs w:val="21"/>
              </w:rPr>
              <w:t>招标工作方案</w:t>
            </w:r>
            <w:r>
              <w:rPr>
                <w:rFonts w:ascii="仿宋" w:eastAsia="仿宋" w:hAnsi="仿宋" w:cs="仿宋" w:hint="eastAsia"/>
                <w:spacing w:val="2"/>
                <w:szCs w:val="21"/>
              </w:rPr>
              <w:t>(</w:t>
            </w:r>
            <w:r>
              <w:rPr>
                <w:rFonts w:ascii="仿宋" w:eastAsia="仿宋" w:hAnsi="仿宋" w:cs="仿宋" w:hint="eastAsia"/>
                <w:spacing w:val="2"/>
                <w:szCs w:val="21"/>
              </w:rPr>
              <w:t>6</w:t>
            </w:r>
            <w:r>
              <w:rPr>
                <w:rFonts w:ascii="仿宋" w:eastAsia="仿宋" w:hAnsi="仿宋" w:cs="仿宋" w:hint="eastAsia"/>
                <w:spacing w:val="2"/>
                <w:szCs w:val="21"/>
              </w:rPr>
              <w:t>0</w:t>
            </w:r>
            <w:r>
              <w:rPr>
                <w:rFonts w:ascii="仿宋" w:eastAsia="仿宋" w:hAnsi="仿宋" w:cs="仿宋" w:hint="eastAsia"/>
                <w:spacing w:val="2"/>
                <w:szCs w:val="21"/>
              </w:rPr>
              <w:t>分</w:t>
            </w:r>
            <w:r>
              <w:rPr>
                <w:rFonts w:ascii="仿宋" w:eastAsia="仿宋" w:hAnsi="仿宋" w:cs="仿宋" w:hint="eastAsia"/>
                <w:spacing w:val="2"/>
                <w:szCs w:val="21"/>
              </w:rPr>
              <w:t>)</w:t>
            </w:r>
          </w:p>
        </w:tc>
        <w:tc>
          <w:tcPr>
            <w:tcW w:w="1909" w:type="dxa"/>
            <w:vAlign w:val="center"/>
          </w:tcPr>
          <w:p w:rsidR="006C5992" w:rsidRDefault="00EC1F69">
            <w:pPr>
              <w:spacing w:before="218" w:line="218" w:lineRule="auto"/>
              <w:ind w:leftChars="20" w:left="42" w:rightChars="20" w:right="42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pacing w:val="2"/>
                <w:szCs w:val="21"/>
              </w:rPr>
              <w:t>招标代理费报价</w:t>
            </w:r>
            <w:r>
              <w:rPr>
                <w:rFonts w:ascii="仿宋" w:eastAsia="仿宋" w:hAnsi="仿宋" w:cs="仿宋" w:hint="eastAsia"/>
                <w:spacing w:val="2"/>
                <w:szCs w:val="21"/>
              </w:rPr>
              <w:t>(</w:t>
            </w:r>
            <w:r>
              <w:rPr>
                <w:rFonts w:ascii="仿宋" w:eastAsia="仿宋" w:hAnsi="仿宋" w:cs="仿宋" w:hint="eastAsia"/>
                <w:spacing w:val="2"/>
                <w:szCs w:val="21"/>
              </w:rPr>
              <w:t>10</w:t>
            </w:r>
            <w:r>
              <w:rPr>
                <w:rFonts w:ascii="仿宋" w:eastAsia="仿宋" w:hAnsi="仿宋" w:cs="仿宋" w:hint="eastAsia"/>
                <w:spacing w:val="2"/>
                <w:szCs w:val="21"/>
              </w:rPr>
              <w:t>分</w:t>
            </w:r>
            <w:r>
              <w:rPr>
                <w:rFonts w:ascii="仿宋" w:eastAsia="仿宋" w:hAnsi="仿宋" w:cs="仿宋" w:hint="eastAsia"/>
                <w:spacing w:val="2"/>
                <w:szCs w:val="21"/>
              </w:rPr>
              <w:t>)</w:t>
            </w:r>
          </w:p>
        </w:tc>
        <w:tc>
          <w:tcPr>
            <w:tcW w:w="986" w:type="dxa"/>
            <w:vMerge w:val="restart"/>
            <w:tcBorders>
              <w:bottom w:val="nil"/>
            </w:tcBorders>
          </w:tcPr>
          <w:p w:rsidR="006C5992" w:rsidRDefault="006C5992">
            <w:pPr>
              <w:spacing w:line="285" w:lineRule="auto"/>
              <w:ind w:leftChars="20" w:left="42" w:rightChars="20" w:right="42"/>
              <w:rPr>
                <w:rFonts w:ascii="仿宋" w:eastAsia="仿宋" w:hAnsi="仿宋" w:cs="仿宋"/>
                <w:szCs w:val="21"/>
              </w:rPr>
            </w:pPr>
          </w:p>
          <w:p w:rsidR="006C5992" w:rsidRDefault="006C5992">
            <w:pPr>
              <w:spacing w:line="285" w:lineRule="auto"/>
              <w:ind w:leftChars="20" w:left="42" w:rightChars="20" w:right="42"/>
              <w:rPr>
                <w:rFonts w:ascii="仿宋" w:eastAsia="仿宋" w:hAnsi="仿宋" w:cs="仿宋"/>
                <w:szCs w:val="21"/>
              </w:rPr>
            </w:pPr>
          </w:p>
          <w:p w:rsidR="006C5992" w:rsidRDefault="006C5992">
            <w:pPr>
              <w:spacing w:line="286" w:lineRule="auto"/>
              <w:ind w:leftChars="20" w:left="42" w:rightChars="20" w:right="42"/>
              <w:rPr>
                <w:rFonts w:ascii="仿宋" w:eastAsia="仿宋" w:hAnsi="仿宋" w:cs="仿宋"/>
                <w:szCs w:val="21"/>
              </w:rPr>
            </w:pPr>
          </w:p>
          <w:p w:rsidR="006C5992" w:rsidRDefault="00EC1F69">
            <w:pPr>
              <w:spacing w:before="39" w:line="221" w:lineRule="auto"/>
              <w:ind w:leftChars="20" w:left="42" w:rightChars="20" w:right="42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pacing w:val="-2"/>
                <w:szCs w:val="21"/>
              </w:rPr>
              <w:t>合计</w:t>
            </w:r>
          </w:p>
        </w:tc>
      </w:tr>
      <w:tr w:rsidR="006C5992">
        <w:trPr>
          <w:trHeight w:val="3488"/>
          <w:jc w:val="center"/>
        </w:trPr>
        <w:tc>
          <w:tcPr>
            <w:tcW w:w="2082" w:type="dxa"/>
            <w:vMerge/>
            <w:tcBorders>
              <w:top w:val="nil"/>
              <w:tl2br w:val="single" w:sz="4" w:space="0" w:color="000000"/>
            </w:tcBorders>
          </w:tcPr>
          <w:p w:rsidR="006C5992" w:rsidRDefault="006C5992">
            <w:pPr>
              <w:ind w:leftChars="20" w:left="42" w:rightChars="20" w:right="42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6C5992" w:rsidRDefault="00EC1F69">
            <w:pPr>
              <w:ind w:leftChars="20" w:left="42" w:rightChars="20" w:right="42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pacing w:val="-2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spacing w:val="-2"/>
                <w:szCs w:val="21"/>
              </w:rPr>
              <w:t>、该单位具备</w:t>
            </w:r>
            <w:r>
              <w:rPr>
                <w:rFonts w:ascii="仿宋" w:eastAsia="仿宋" w:hAnsi="仿宋" w:cs="仿宋" w:hint="eastAsia"/>
                <w:spacing w:val="-2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spacing w:val="-2"/>
                <w:szCs w:val="21"/>
              </w:rPr>
              <w:t>个以上招标代理专职人员</w:t>
            </w:r>
            <w:r>
              <w:rPr>
                <w:rFonts w:ascii="仿宋" w:eastAsia="仿宋" w:hAnsi="仿宋" w:cs="仿宋" w:hint="eastAsia"/>
                <w:spacing w:val="-2"/>
                <w:szCs w:val="21"/>
              </w:rPr>
              <w:t>(</w:t>
            </w:r>
            <w:r>
              <w:rPr>
                <w:rFonts w:ascii="仿宋" w:eastAsia="仿宋" w:hAnsi="仿宋" w:cs="仿宋" w:hint="eastAsia"/>
                <w:spacing w:val="-2"/>
                <w:szCs w:val="21"/>
              </w:rPr>
              <w:t>须提供执业资格证书及劳动合同复印件</w:t>
            </w:r>
            <w:r>
              <w:rPr>
                <w:rFonts w:ascii="仿宋" w:eastAsia="仿宋" w:hAnsi="仿宋" w:cs="仿宋" w:hint="eastAsia"/>
                <w:spacing w:val="-2"/>
                <w:szCs w:val="21"/>
              </w:rPr>
              <w:t>)</w:t>
            </w:r>
            <w:r>
              <w:rPr>
                <w:rFonts w:ascii="仿宋" w:eastAsia="仿宋" w:hAnsi="仿宋" w:cs="仿宋" w:hint="eastAsia"/>
                <w:spacing w:val="-2"/>
                <w:szCs w:val="21"/>
              </w:rPr>
              <w:t>得基本分</w:t>
            </w:r>
            <w:r>
              <w:rPr>
                <w:rFonts w:ascii="仿宋" w:eastAsia="仿宋" w:hAnsi="仿宋" w:cs="仿宋" w:hint="eastAsia"/>
                <w:spacing w:val="-2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spacing w:val="-2"/>
                <w:szCs w:val="21"/>
              </w:rPr>
              <w:t>分，每增加</w:t>
            </w:r>
            <w:r>
              <w:rPr>
                <w:rFonts w:ascii="仿宋" w:eastAsia="仿宋" w:hAnsi="仿宋" w:cs="仿宋" w:hint="eastAsia"/>
                <w:spacing w:val="-2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spacing w:val="-2"/>
                <w:szCs w:val="21"/>
              </w:rPr>
              <w:t>人加</w:t>
            </w:r>
            <w:r>
              <w:rPr>
                <w:rFonts w:ascii="仿宋" w:eastAsia="仿宋" w:hAnsi="仿宋" w:cs="仿宋" w:hint="eastAsia"/>
                <w:spacing w:val="-2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spacing w:val="-2"/>
                <w:szCs w:val="21"/>
              </w:rPr>
              <w:t>分，本项最多得</w:t>
            </w:r>
            <w:r>
              <w:rPr>
                <w:rFonts w:ascii="仿宋" w:eastAsia="仿宋" w:hAnsi="仿宋" w:cs="仿宋" w:hint="eastAsia"/>
                <w:spacing w:val="-2"/>
                <w:szCs w:val="21"/>
              </w:rPr>
              <w:t>7</w:t>
            </w:r>
            <w:r>
              <w:rPr>
                <w:rFonts w:ascii="仿宋" w:eastAsia="仿宋" w:hAnsi="仿宋" w:cs="仿宋" w:hint="eastAsia"/>
                <w:spacing w:val="-2"/>
                <w:szCs w:val="21"/>
              </w:rPr>
              <w:t>分。</w:t>
            </w:r>
          </w:p>
        </w:tc>
        <w:tc>
          <w:tcPr>
            <w:tcW w:w="1783" w:type="dxa"/>
            <w:vAlign w:val="center"/>
          </w:tcPr>
          <w:p w:rsidR="006C5992" w:rsidRDefault="00EC1F69">
            <w:pPr>
              <w:ind w:leftChars="20" w:left="42" w:rightChars="20" w:right="42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pacing w:val="-2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spacing w:val="-2"/>
                <w:szCs w:val="21"/>
              </w:rPr>
              <w:t>、该单位具备</w:t>
            </w:r>
            <w:r>
              <w:rPr>
                <w:rFonts w:ascii="仿宋" w:eastAsia="仿宋" w:hAnsi="仿宋" w:cs="仿宋" w:hint="eastAsia"/>
                <w:spacing w:val="-2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spacing w:val="-2"/>
                <w:szCs w:val="21"/>
              </w:rPr>
              <w:t>个以上注册造价师</w:t>
            </w:r>
            <w:r>
              <w:rPr>
                <w:rFonts w:ascii="仿宋" w:eastAsia="仿宋" w:hAnsi="仿宋" w:cs="仿宋" w:hint="eastAsia"/>
                <w:spacing w:val="-2"/>
                <w:szCs w:val="21"/>
              </w:rPr>
              <w:t>(</w:t>
            </w:r>
            <w:r>
              <w:rPr>
                <w:rFonts w:ascii="仿宋" w:eastAsia="仿宋" w:hAnsi="仿宋" w:cs="仿宋" w:hint="eastAsia"/>
                <w:spacing w:val="-2"/>
                <w:szCs w:val="21"/>
              </w:rPr>
              <w:t>须提供注册单位为该单位的注册造价师执业资格证书复印件</w:t>
            </w:r>
            <w:r>
              <w:rPr>
                <w:rFonts w:ascii="仿宋" w:eastAsia="仿宋" w:hAnsi="仿宋" w:cs="仿宋" w:hint="eastAsia"/>
                <w:spacing w:val="-2"/>
                <w:szCs w:val="21"/>
              </w:rPr>
              <w:t>)</w:t>
            </w:r>
            <w:r>
              <w:rPr>
                <w:rFonts w:ascii="仿宋" w:eastAsia="仿宋" w:hAnsi="仿宋" w:cs="仿宋" w:hint="eastAsia"/>
                <w:spacing w:val="-2"/>
                <w:szCs w:val="21"/>
              </w:rPr>
              <w:t>得基本分</w:t>
            </w:r>
            <w:r>
              <w:rPr>
                <w:rFonts w:ascii="仿宋" w:eastAsia="仿宋" w:hAnsi="仿宋" w:cs="仿宋" w:hint="eastAsia"/>
                <w:spacing w:val="-2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spacing w:val="-2"/>
                <w:szCs w:val="21"/>
              </w:rPr>
              <w:t>分，每增加</w:t>
            </w:r>
            <w:r>
              <w:rPr>
                <w:rFonts w:ascii="仿宋" w:eastAsia="仿宋" w:hAnsi="仿宋" w:cs="仿宋" w:hint="eastAsia"/>
                <w:spacing w:val="-2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spacing w:val="-2"/>
                <w:szCs w:val="21"/>
              </w:rPr>
              <w:t>人加</w:t>
            </w:r>
            <w:r>
              <w:rPr>
                <w:rFonts w:ascii="仿宋" w:eastAsia="仿宋" w:hAnsi="仿宋" w:cs="仿宋" w:hint="eastAsia"/>
                <w:spacing w:val="-2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spacing w:val="-2"/>
                <w:szCs w:val="21"/>
              </w:rPr>
              <w:t>分，本项最多得</w:t>
            </w:r>
            <w:r>
              <w:rPr>
                <w:rFonts w:ascii="仿宋" w:eastAsia="仿宋" w:hAnsi="仿宋" w:cs="仿宋" w:hint="eastAsia"/>
                <w:spacing w:val="-2"/>
                <w:szCs w:val="21"/>
              </w:rPr>
              <w:t>8</w:t>
            </w:r>
            <w:r>
              <w:rPr>
                <w:rFonts w:ascii="仿宋" w:eastAsia="仿宋" w:hAnsi="仿宋" w:cs="仿宋" w:hint="eastAsia"/>
                <w:spacing w:val="-2"/>
                <w:szCs w:val="21"/>
              </w:rPr>
              <w:t>分。</w:t>
            </w:r>
          </w:p>
        </w:tc>
        <w:tc>
          <w:tcPr>
            <w:tcW w:w="1617" w:type="dxa"/>
            <w:vAlign w:val="center"/>
          </w:tcPr>
          <w:p w:rsidR="006C5992" w:rsidRDefault="00EC1F69">
            <w:pPr>
              <w:ind w:leftChars="20" w:left="42" w:rightChars="20" w:right="42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pacing w:val="-2"/>
                <w:szCs w:val="21"/>
              </w:rPr>
              <w:t>近</w:t>
            </w:r>
            <w:r>
              <w:rPr>
                <w:rFonts w:ascii="仿宋" w:eastAsia="仿宋" w:hAnsi="仿宋" w:cs="仿宋" w:hint="eastAsia"/>
                <w:spacing w:val="-2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spacing w:val="-2"/>
                <w:szCs w:val="21"/>
              </w:rPr>
              <w:t>年完成</w:t>
            </w:r>
            <w:r>
              <w:rPr>
                <w:rFonts w:ascii="仿宋" w:eastAsia="仿宋" w:hAnsi="仿宋" w:cs="仿宋" w:hint="eastAsia"/>
                <w:spacing w:val="-2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spacing w:val="-2"/>
                <w:szCs w:val="21"/>
              </w:rPr>
              <w:t>亿元以上招标业绩</w:t>
            </w:r>
            <w:r>
              <w:rPr>
                <w:rFonts w:ascii="仿宋" w:eastAsia="仿宋" w:hAnsi="仿宋" w:cs="仿宋" w:hint="eastAsia"/>
                <w:spacing w:val="-2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spacing w:val="-2"/>
                <w:szCs w:val="21"/>
              </w:rPr>
              <w:t>个得基本分</w:t>
            </w:r>
            <w:r>
              <w:rPr>
                <w:rFonts w:ascii="仿宋" w:eastAsia="仿宋" w:hAnsi="仿宋" w:cs="仿宋" w:hint="eastAsia"/>
                <w:spacing w:val="-2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spacing w:val="-2"/>
                <w:szCs w:val="21"/>
              </w:rPr>
              <w:t>分，每增加一个加</w:t>
            </w:r>
            <w:r>
              <w:rPr>
                <w:rFonts w:ascii="仿宋" w:eastAsia="仿宋" w:hAnsi="仿宋" w:cs="仿宋" w:hint="eastAsia"/>
                <w:spacing w:val="-2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spacing w:val="-2"/>
                <w:szCs w:val="21"/>
              </w:rPr>
              <w:t>分，</w:t>
            </w:r>
            <w:r>
              <w:rPr>
                <w:rFonts w:ascii="仿宋" w:eastAsia="仿宋" w:hAnsi="仿宋" w:cs="仿宋" w:hint="eastAsia"/>
                <w:spacing w:val="-2"/>
                <w:szCs w:val="21"/>
              </w:rPr>
              <w:t>本项最多得</w:t>
            </w:r>
            <w:r>
              <w:rPr>
                <w:rFonts w:ascii="仿宋" w:eastAsia="仿宋" w:hAnsi="仿宋" w:cs="仿宋" w:hint="eastAsia"/>
                <w:spacing w:val="-2"/>
                <w:szCs w:val="21"/>
              </w:rPr>
              <w:t>15</w:t>
            </w:r>
            <w:r>
              <w:rPr>
                <w:rFonts w:ascii="仿宋" w:eastAsia="仿宋" w:hAnsi="仿宋" w:cs="仿宋" w:hint="eastAsia"/>
                <w:spacing w:val="-2"/>
                <w:szCs w:val="21"/>
              </w:rPr>
              <w:t>分。</w:t>
            </w:r>
          </w:p>
        </w:tc>
        <w:tc>
          <w:tcPr>
            <w:tcW w:w="1400" w:type="dxa"/>
            <w:vAlign w:val="center"/>
          </w:tcPr>
          <w:p w:rsidR="006C5992" w:rsidRDefault="00EC1F69">
            <w:pPr>
              <w:ind w:leftChars="20" w:left="42" w:rightChars="20" w:right="42"/>
              <w:rPr>
                <w:rFonts w:ascii="仿宋" w:eastAsia="仿宋" w:hAnsi="仿宋" w:cs="仿宋"/>
                <w:spacing w:val="-2"/>
                <w:szCs w:val="21"/>
              </w:rPr>
            </w:pPr>
            <w:r>
              <w:rPr>
                <w:rFonts w:ascii="仿宋" w:eastAsia="仿宋" w:hAnsi="仿宋" w:cs="仿宋" w:hint="eastAsia"/>
                <w:spacing w:val="-2"/>
                <w:szCs w:val="21"/>
              </w:rPr>
              <w:t>对本次在本工程重难点的分析，解决方案的科学性和可行性。本项最高得分</w:t>
            </w:r>
            <w:r>
              <w:rPr>
                <w:rFonts w:ascii="仿宋" w:eastAsia="仿宋" w:hAnsi="仿宋" w:cs="仿宋" w:hint="eastAsia"/>
                <w:spacing w:val="-2"/>
                <w:szCs w:val="21"/>
              </w:rPr>
              <w:t>25</w:t>
            </w:r>
            <w:r>
              <w:rPr>
                <w:rFonts w:ascii="仿宋" w:eastAsia="仿宋" w:hAnsi="仿宋" w:cs="仿宋" w:hint="eastAsia"/>
                <w:spacing w:val="-2"/>
                <w:szCs w:val="21"/>
              </w:rPr>
              <w:t>分。</w:t>
            </w:r>
          </w:p>
        </w:tc>
        <w:tc>
          <w:tcPr>
            <w:tcW w:w="1350" w:type="dxa"/>
            <w:vAlign w:val="center"/>
          </w:tcPr>
          <w:p w:rsidR="006C5992" w:rsidRDefault="00EC1F69">
            <w:pPr>
              <w:ind w:leftChars="20" w:left="42" w:rightChars="20" w:right="42"/>
              <w:rPr>
                <w:rFonts w:ascii="仿宋" w:eastAsia="仿宋" w:hAnsi="仿宋" w:cs="仿宋"/>
                <w:spacing w:val="-2"/>
                <w:szCs w:val="21"/>
              </w:rPr>
            </w:pPr>
            <w:r>
              <w:rPr>
                <w:rFonts w:ascii="仿宋" w:eastAsia="仿宋" w:hAnsi="仿宋" w:cs="仿宋" w:hint="eastAsia"/>
                <w:spacing w:val="-2"/>
                <w:szCs w:val="21"/>
              </w:rPr>
              <w:t>人员专业结构的配备、职责分工是否满足本次招标要求。本项最高得分</w:t>
            </w:r>
            <w:r>
              <w:rPr>
                <w:rFonts w:ascii="仿宋" w:eastAsia="仿宋" w:hAnsi="仿宋" w:cs="仿宋" w:hint="eastAsia"/>
                <w:spacing w:val="-2"/>
                <w:szCs w:val="21"/>
              </w:rPr>
              <w:t>20</w:t>
            </w:r>
            <w:r>
              <w:rPr>
                <w:rFonts w:ascii="仿宋" w:eastAsia="仿宋" w:hAnsi="仿宋" w:cs="仿宋" w:hint="eastAsia"/>
                <w:spacing w:val="-2"/>
                <w:szCs w:val="21"/>
              </w:rPr>
              <w:t>分。</w:t>
            </w:r>
          </w:p>
        </w:tc>
        <w:tc>
          <w:tcPr>
            <w:tcW w:w="1550" w:type="dxa"/>
            <w:vAlign w:val="center"/>
          </w:tcPr>
          <w:p w:rsidR="006C5992" w:rsidRDefault="00EC1F69">
            <w:pPr>
              <w:ind w:leftChars="20" w:left="42" w:rightChars="20" w:right="42"/>
              <w:rPr>
                <w:rFonts w:ascii="仿宋" w:eastAsia="仿宋" w:hAnsi="仿宋" w:cs="仿宋"/>
                <w:spacing w:val="-2"/>
                <w:szCs w:val="21"/>
              </w:rPr>
            </w:pPr>
            <w:r>
              <w:rPr>
                <w:rFonts w:ascii="仿宋" w:eastAsia="仿宋" w:hAnsi="仿宋" w:cs="仿宋" w:hint="eastAsia"/>
                <w:spacing w:val="-2"/>
                <w:szCs w:val="21"/>
              </w:rPr>
              <w:t>招标代理服务范围的各项工作是否有完善的工作方案。本项最高得分</w:t>
            </w:r>
            <w:r>
              <w:rPr>
                <w:rFonts w:ascii="仿宋" w:eastAsia="仿宋" w:hAnsi="仿宋" w:cs="仿宋" w:hint="eastAsia"/>
                <w:spacing w:val="-2"/>
                <w:szCs w:val="21"/>
              </w:rPr>
              <w:t>15</w:t>
            </w:r>
            <w:r>
              <w:rPr>
                <w:rFonts w:ascii="仿宋" w:eastAsia="仿宋" w:hAnsi="仿宋" w:cs="仿宋" w:hint="eastAsia"/>
                <w:spacing w:val="-2"/>
                <w:szCs w:val="21"/>
              </w:rPr>
              <w:t>分。</w:t>
            </w:r>
          </w:p>
        </w:tc>
        <w:tc>
          <w:tcPr>
            <w:tcW w:w="1909" w:type="dxa"/>
            <w:vAlign w:val="center"/>
          </w:tcPr>
          <w:p w:rsidR="006C5992" w:rsidRDefault="00EC1F69">
            <w:pPr>
              <w:ind w:leftChars="20" w:left="42" w:rightChars="20" w:right="42"/>
              <w:rPr>
                <w:rFonts w:ascii="仿宋" w:eastAsia="仿宋" w:hAnsi="仿宋" w:cs="仿宋"/>
                <w:spacing w:val="-2"/>
                <w:szCs w:val="21"/>
              </w:rPr>
            </w:pPr>
            <w:r>
              <w:rPr>
                <w:rFonts w:ascii="仿宋" w:eastAsia="仿宋" w:hAnsi="仿宋" w:cs="仿宋" w:hint="eastAsia"/>
                <w:spacing w:val="-2"/>
                <w:szCs w:val="21"/>
              </w:rPr>
              <w:t>招标代理服务费依据</w:t>
            </w:r>
            <w:r>
              <w:rPr>
                <w:rFonts w:ascii="仿宋" w:eastAsia="仿宋" w:hAnsi="仿宋" w:cs="仿宋" w:hint="eastAsia"/>
                <w:spacing w:val="-2"/>
                <w:szCs w:val="21"/>
              </w:rPr>
              <w:t>(</w:t>
            </w:r>
            <w:r>
              <w:rPr>
                <w:rFonts w:ascii="仿宋" w:eastAsia="仿宋" w:hAnsi="仿宋" w:cs="仿宋" w:hint="eastAsia"/>
                <w:spacing w:val="-2"/>
                <w:szCs w:val="21"/>
              </w:rPr>
              <w:t>计价格</w:t>
            </w:r>
          </w:p>
          <w:p w:rsidR="006C5992" w:rsidRDefault="00EC1F69">
            <w:pPr>
              <w:ind w:leftChars="20" w:left="42" w:rightChars="20" w:right="42"/>
              <w:rPr>
                <w:rFonts w:ascii="仿宋" w:eastAsia="仿宋" w:hAnsi="仿宋" w:cs="仿宋"/>
                <w:spacing w:val="-2"/>
                <w:szCs w:val="21"/>
              </w:rPr>
            </w:pPr>
            <w:r>
              <w:rPr>
                <w:rFonts w:ascii="仿宋" w:eastAsia="仿宋" w:hAnsi="仿宋" w:cs="仿宋" w:hint="eastAsia"/>
                <w:spacing w:val="-2"/>
                <w:szCs w:val="21"/>
              </w:rPr>
              <w:t>[2002]1980</w:t>
            </w:r>
            <w:r>
              <w:rPr>
                <w:rFonts w:ascii="仿宋" w:eastAsia="仿宋" w:hAnsi="仿宋" w:cs="仿宋" w:hint="eastAsia"/>
                <w:spacing w:val="-2"/>
                <w:szCs w:val="21"/>
              </w:rPr>
              <w:t>号、发</w:t>
            </w:r>
            <w:r>
              <w:rPr>
                <w:rFonts w:ascii="仿宋" w:eastAsia="仿宋" w:hAnsi="仿宋" w:cs="仿宋" w:hint="eastAsia"/>
                <w:spacing w:val="-2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"/>
                <w:szCs w:val="21"/>
              </w:rPr>
              <w:t>改价格</w:t>
            </w:r>
            <w:r>
              <w:rPr>
                <w:rFonts w:ascii="仿宋" w:eastAsia="仿宋" w:hAnsi="仿宋" w:cs="仿宋" w:hint="eastAsia"/>
                <w:spacing w:val="-2"/>
                <w:szCs w:val="21"/>
              </w:rPr>
              <w:t>[2011]534</w:t>
            </w:r>
            <w:r>
              <w:rPr>
                <w:rFonts w:ascii="仿宋" w:eastAsia="仿宋" w:hAnsi="仿宋" w:cs="仿宋" w:hint="eastAsia"/>
                <w:spacing w:val="-2"/>
                <w:szCs w:val="21"/>
              </w:rPr>
              <w:t>号</w:t>
            </w:r>
            <w:r>
              <w:rPr>
                <w:rFonts w:ascii="仿宋" w:eastAsia="仿宋" w:hAnsi="仿宋" w:cs="仿宋" w:hint="eastAsia"/>
                <w:spacing w:val="-2"/>
                <w:szCs w:val="21"/>
              </w:rPr>
              <w:t>)</w:t>
            </w:r>
            <w:r>
              <w:rPr>
                <w:rFonts w:ascii="仿宋" w:eastAsia="仿宋" w:hAnsi="仿宋" w:cs="仿宋" w:hint="eastAsia"/>
                <w:spacing w:val="-2"/>
                <w:szCs w:val="21"/>
              </w:rPr>
              <w:t>计费，按文件</w:t>
            </w:r>
            <w:r>
              <w:rPr>
                <w:rFonts w:ascii="仿宋" w:eastAsia="仿宋" w:hAnsi="仿宋" w:cs="仿宋" w:hint="eastAsia"/>
                <w:spacing w:val="-2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"/>
                <w:szCs w:val="21"/>
              </w:rPr>
              <w:t>标准</w:t>
            </w:r>
            <w:r>
              <w:rPr>
                <w:rFonts w:ascii="仿宋" w:eastAsia="仿宋" w:hAnsi="仿宋" w:cs="仿宋" w:hint="eastAsia"/>
                <w:spacing w:val="-2"/>
                <w:szCs w:val="21"/>
              </w:rPr>
              <w:t>50%</w:t>
            </w:r>
            <w:r>
              <w:rPr>
                <w:rFonts w:ascii="仿宋" w:eastAsia="仿宋" w:hAnsi="仿宋" w:cs="仿宋" w:hint="eastAsia"/>
                <w:spacing w:val="-2"/>
                <w:szCs w:val="21"/>
              </w:rPr>
              <w:t>收费得</w:t>
            </w:r>
            <w:r>
              <w:rPr>
                <w:rFonts w:ascii="仿宋" w:eastAsia="仿宋" w:hAnsi="仿宋" w:cs="仿宋" w:hint="eastAsia"/>
                <w:spacing w:val="-2"/>
                <w:szCs w:val="21"/>
              </w:rPr>
              <w:t>10</w:t>
            </w:r>
            <w:r>
              <w:rPr>
                <w:rFonts w:ascii="仿宋" w:eastAsia="仿宋" w:hAnsi="仿宋" w:cs="仿宋" w:hint="eastAsia"/>
                <w:spacing w:val="-2"/>
                <w:szCs w:val="21"/>
              </w:rPr>
              <w:t>分，每增加</w:t>
            </w:r>
            <w:r>
              <w:rPr>
                <w:rFonts w:ascii="仿宋" w:eastAsia="仿宋" w:hAnsi="仿宋" w:cs="仿宋" w:hint="eastAsia"/>
                <w:spacing w:val="-2"/>
                <w:szCs w:val="21"/>
              </w:rPr>
              <w:t>10%</w:t>
            </w:r>
            <w:r>
              <w:rPr>
                <w:rFonts w:ascii="仿宋" w:eastAsia="仿宋" w:hAnsi="仿宋" w:cs="仿宋" w:hint="eastAsia"/>
                <w:spacing w:val="-2"/>
                <w:szCs w:val="21"/>
              </w:rPr>
              <w:t>扣</w:t>
            </w:r>
            <w:r>
              <w:rPr>
                <w:rFonts w:ascii="仿宋" w:eastAsia="仿宋" w:hAnsi="仿宋" w:cs="仿宋" w:hint="eastAsia"/>
                <w:spacing w:val="-2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spacing w:val="-2"/>
                <w:szCs w:val="21"/>
              </w:rPr>
              <w:t>分</w:t>
            </w:r>
            <w:r>
              <w:rPr>
                <w:rFonts w:ascii="仿宋" w:eastAsia="仿宋" w:hAnsi="仿宋" w:cs="仿宋" w:hint="eastAsia"/>
                <w:spacing w:val="-2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"/>
                <w:szCs w:val="21"/>
              </w:rPr>
              <w:t>。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 w:rsidR="006C5992" w:rsidRDefault="006C5992">
            <w:pPr>
              <w:ind w:leftChars="20" w:left="42" w:rightChars="20" w:right="42"/>
              <w:rPr>
                <w:rFonts w:ascii="仿宋" w:eastAsia="仿宋" w:hAnsi="仿宋" w:cs="仿宋"/>
                <w:szCs w:val="21"/>
              </w:rPr>
            </w:pPr>
          </w:p>
        </w:tc>
      </w:tr>
      <w:tr w:rsidR="006C5992">
        <w:trPr>
          <w:trHeight w:val="524"/>
          <w:jc w:val="center"/>
        </w:trPr>
        <w:tc>
          <w:tcPr>
            <w:tcW w:w="2082" w:type="dxa"/>
          </w:tcPr>
          <w:p w:rsidR="006C5992" w:rsidRDefault="006C599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00" w:type="dxa"/>
          </w:tcPr>
          <w:p w:rsidR="006C5992" w:rsidRDefault="006C599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83" w:type="dxa"/>
          </w:tcPr>
          <w:p w:rsidR="006C5992" w:rsidRDefault="006C599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17" w:type="dxa"/>
          </w:tcPr>
          <w:p w:rsidR="006C5992" w:rsidRDefault="006C599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00" w:type="dxa"/>
          </w:tcPr>
          <w:p w:rsidR="006C5992" w:rsidRDefault="006C599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50" w:type="dxa"/>
          </w:tcPr>
          <w:p w:rsidR="006C5992" w:rsidRDefault="006C599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50" w:type="dxa"/>
          </w:tcPr>
          <w:p w:rsidR="006C5992" w:rsidRDefault="006C599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09" w:type="dxa"/>
          </w:tcPr>
          <w:p w:rsidR="006C5992" w:rsidRDefault="006C599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86" w:type="dxa"/>
          </w:tcPr>
          <w:p w:rsidR="006C5992" w:rsidRDefault="006C5992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6C5992">
        <w:trPr>
          <w:trHeight w:val="536"/>
          <w:jc w:val="center"/>
        </w:trPr>
        <w:tc>
          <w:tcPr>
            <w:tcW w:w="2082" w:type="dxa"/>
          </w:tcPr>
          <w:p w:rsidR="006C5992" w:rsidRDefault="006C599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00" w:type="dxa"/>
          </w:tcPr>
          <w:p w:rsidR="006C5992" w:rsidRDefault="006C599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83" w:type="dxa"/>
          </w:tcPr>
          <w:p w:rsidR="006C5992" w:rsidRDefault="006C599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17" w:type="dxa"/>
          </w:tcPr>
          <w:p w:rsidR="006C5992" w:rsidRDefault="006C599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00" w:type="dxa"/>
          </w:tcPr>
          <w:p w:rsidR="006C5992" w:rsidRDefault="006C599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50" w:type="dxa"/>
          </w:tcPr>
          <w:p w:rsidR="006C5992" w:rsidRDefault="006C599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50" w:type="dxa"/>
          </w:tcPr>
          <w:p w:rsidR="006C5992" w:rsidRDefault="006C599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09" w:type="dxa"/>
          </w:tcPr>
          <w:p w:rsidR="006C5992" w:rsidRDefault="006C599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86" w:type="dxa"/>
          </w:tcPr>
          <w:p w:rsidR="006C5992" w:rsidRDefault="006C5992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6C5992">
        <w:trPr>
          <w:trHeight w:val="524"/>
          <w:jc w:val="center"/>
        </w:trPr>
        <w:tc>
          <w:tcPr>
            <w:tcW w:w="2082" w:type="dxa"/>
          </w:tcPr>
          <w:p w:rsidR="006C5992" w:rsidRDefault="006C5992">
            <w:pPr>
              <w:rPr>
                <w:rFonts w:ascii="Arial"/>
                <w:szCs w:val="21"/>
              </w:rPr>
            </w:pPr>
          </w:p>
        </w:tc>
        <w:tc>
          <w:tcPr>
            <w:tcW w:w="1500" w:type="dxa"/>
          </w:tcPr>
          <w:p w:rsidR="006C5992" w:rsidRDefault="006C5992">
            <w:pPr>
              <w:rPr>
                <w:rFonts w:ascii="Arial"/>
                <w:szCs w:val="21"/>
              </w:rPr>
            </w:pPr>
          </w:p>
        </w:tc>
        <w:tc>
          <w:tcPr>
            <w:tcW w:w="1783" w:type="dxa"/>
          </w:tcPr>
          <w:p w:rsidR="006C5992" w:rsidRDefault="006C5992">
            <w:pPr>
              <w:rPr>
                <w:rFonts w:ascii="Arial"/>
                <w:szCs w:val="21"/>
              </w:rPr>
            </w:pPr>
          </w:p>
        </w:tc>
        <w:tc>
          <w:tcPr>
            <w:tcW w:w="1617" w:type="dxa"/>
          </w:tcPr>
          <w:p w:rsidR="006C5992" w:rsidRDefault="006C5992">
            <w:pPr>
              <w:rPr>
                <w:rFonts w:ascii="Arial"/>
                <w:szCs w:val="21"/>
              </w:rPr>
            </w:pPr>
          </w:p>
        </w:tc>
        <w:tc>
          <w:tcPr>
            <w:tcW w:w="1400" w:type="dxa"/>
          </w:tcPr>
          <w:p w:rsidR="006C5992" w:rsidRDefault="006C5992">
            <w:pPr>
              <w:rPr>
                <w:rFonts w:ascii="Arial"/>
                <w:szCs w:val="21"/>
              </w:rPr>
            </w:pPr>
          </w:p>
        </w:tc>
        <w:tc>
          <w:tcPr>
            <w:tcW w:w="1350" w:type="dxa"/>
          </w:tcPr>
          <w:p w:rsidR="006C5992" w:rsidRDefault="006C5992">
            <w:pPr>
              <w:rPr>
                <w:rFonts w:ascii="Arial"/>
                <w:szCs w:val="21"/>
              </w:rPr>
            </w:pPr>
          </w:p>
        </w:tc>
        <w:tc>
          <w:tcPr>
            <w:tcW w:w="1550" w:type="dxa"/>
          </w:tcPr>
          <w:p w:rsidR="006C5992" w:rsidRDefault="006C5992">
            <w:pPr>
              <w:rPr>
                <w:rFonts w:ascii="Arial"/>
                <w:szCs w:val="21"/>
              </w:rPr>
            </w:pPr>
          </w:p>
        </w:tc>
        <w:tc>
          <w:tcPr>
            <w:tcW w:w="1909" w:type="dxa"/>
          </w:tcPr>
          <w:p w:rsidR="006C5992" w:rsidRDefault="006C599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86" w:type="dxa"/>
          </w:tcPr>
          <w:p w:rsidR="006C5992" w:rsidRDefault="006C5992">
            <w:pPr>
              <w:rPr>
                <w:rFonts w:ascii="Arial"/>
                <w:szCs w:val="21"/>
              </w:rPr>
            </w:pPr>
          </w:p>
        </w:tc>
      </w:tr>
      <w:tr w:rsidR="006C5992">
        <w:trPr>
          <w:trHeight w:val="536"/>
          <w:jc w:val="center"/>
        </w:trPr>
        <w:tc>
          <w:tcPr>
            <w:tcW w:w="2082" w:type="dxa"/>
          </w:tcPr>
          <w:p w:rsidR="006C5992" w:rsidRDefault="006C5992">
            <w:pPr>
              <w:rPr>
                <w:rFonts w:ascii="Arial"/>
                <w:szCs w:val="21"/>
              </w:rPr>
            </w:pPr>
          </w:p>
        </w:tc>
        <w:tc>
          <w:tcPr>
            <w:tcW w:w="1500" w:type="dxa"/>
          </w:tcPr>
          <w:p w:rsidR="006C5992" w:rsidRDefault="006C5992">
            <w:pPr>
              <w:rPr>
                <w:rFonts w:ascii="Arial"/>
                <w:szCs w:val="21"/>
              </w:rPr>
            </w:pPr>
          </w:p>
        </w:tc>
        <w:tc>
          <w:tcPr>
            <w:tcW w:w="1783" w:type="dxa"/>
          </w:tcPr>
          <w:p w:rsidR="006C5992" w:rsidRDefault="006C5992">
            <w:pPr>
              <w:rPr>
                <w:rFonts w:ascii="Arial"/>
                <w:szCs w:val="21"/>
              </w:rPr>
            </w:pPr>
          </w:p>
        </w:tc>
        <w:tc>
          <w:tcPr>
            <w:tcW w:w="1617" w:type="dxa"/>
          </w:tcPr>
          <w:p w:rsidR="006C5992" w:rsidRDefault="006C5992">
            <w:pPr>
              <w:rPr>
                <w:rFonts w:ascii="Arial"/>
                <w:szCs w:val="21"/>
              </w:rPr>
            </w:pPr>
          </w:p>
        </w:tc>
        <w:tc>
          <w:tcPr>
            <w:tcW w:w="1400" w:type="dxa"/>
          </w:tcPr>
          <w:p w:rsidR="006C5992" w:rsidRDefault="006C5992">
            <w:pPr>
              <w:rPr>
                <w:rFonts w:ascii="Arial"/>
                <w:szCs w:val="21"/>
              </w:rPr>
            </w:pPr>
          </w:p>
        </w:tc>
        <w:tc>
          <w:tcPr>
            <w:tcW w:w="1350" w:type="dxa"/>
          </w:tcPr>
          <w:p w:rsidR="006C5992" w:rsidRDefault="006C5992">
            <w:pPr>
              <w:rPr>
                <w:rFonts w:ascii="Arial"/>
                <w:szCs w:val="21"/>
              </w:rPr>
            </w:pPr>
          </w:p>
        </w:tc>
        <w:tc>
          <w:tcPr>
            <w:tcW w:w="1550" w:type="dxa"/>
          </w:tcPr>
          <w:p w:rsidR="006C5992" w:rsidRDefault="006C5992">
            <w:pPr>
              <w:rPr>
                <w:rFonts w:ascii="Arial"/>
                <w:szCs w:val="21"/>
              </w:rPr>
            </w:pPr>
          </w:p>
        </w:tc>
        <w:tc>
          <w:tcPr>
            <w:tcW w:w="1909" w:type="dxa"/>
          </w:tcPr>
          <w:p w:rsidR="006C5992" w:rsidRDefault="006C599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86" w:type="dxa"/>
          </w:tcPr>
          <w:p w:rsidR="006C5992" w:rsidRDefault="006C5992">
            <w:pPr>
              <w:rPr>
                <w:rFonts w:ascii="Arial"/>
                <w:szCs w:val="21"/>
              </w:rPr>
            </w:pPr>
          </w:p>
        </w:tc>
      </w:tr>
    </w:tbl>
    <w:p w:rsidR="006C5992" w:rsidRDefault="006C5992">
      <w:pPr>
        <w:spacing w:line="560" w:lineRule="exact"/>
        <w:rPr>
          <w:rFonts w:ascii="微软雅黑" w:eastAsia="微软雅黑" w:hAnsi="微软雅黑" w:cs="微软雅黑"/>
          <w:color w:val="666666"/>
          <w:sz w:val="28"/>
          <w:szCs w:val="28"/>
          <w:shd w:val="clear" w:color="auto" w:fill="FFFFFF"/>
        </w:rPr>
      </w:pPr>
    </w:p>
    <w:sectPr w:rsidR="006C5992" w:rsidSect="006C5992">
      <w:footerReference w:type="default" r:id="rId7"/>
      <w:pgSz w:w="16838" w:h="11906" w:orient="landscape"/>
      <w:pgMar w:top="1417" w:right="1440" w:bottom="1417" w:left="1440" w:header="851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F69" w:rsidRDefault="00EC1F69" w:rsidP="006C5992">
      <w:r>
        <w:separator/>
      </w:r>
    </w:p>
  </w:endnote>
  <w:endnote w:type="continuationSeparator" w:id="1">
    <w:p w:rsidR="00EC1F69" w:rsidRDefault="00EC1F69" w:rsidP="006C5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992" w:rsidRDefault="006C5992">
    <w:pPr>
      <w:pStyle w:val="a3"/>
    </w:pPr>
  </w:p>
  <w:p w:rsidR="006C5992" w:rsidRDefault="006C599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F69" w:rsidRDefault="00EC1F69" w:rsidP="006C5992">
      <w:r>
        <w:separator/>
      </w:r>
    </w:p>
  </w:footnote>
  <w:footnote w:type="continuationSeparator" w:id="1">
    <w:p w:rsidR="00EC1F69" w:rsidRDefault="00EC1F69" w:rsidP="006C59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WZmNmNlMzE4ZjM1OTg4M2VkMjBiNzc0OTc3NmM3NGYifQ=="/>
  </w:docVars>
  <w:rsids>
    <w:rsidRoot w:val="394E4AE5"/>
    <w:rsid w:val="006C5992"/>
    <w:rsid w:val="00EC1F69"/>
    <w:rsid w:val="00FD4B23"/>
    <w:rsid w:val="01396E1E"/>
    <w:rsid w:val="0ADA51CD"/>
    <w:rsid w:val="0B7E364F"/>
    <w:rsid w:val="0C5F3744"/>
    <w:rsid w:val="0D984545"/>
    <w:rsid w:val="10637A13"/>
    <w:rsid w:val="19F10F35"/>
    <w:rsid w:val="1D401D91"/>
    <w:rsid w:val="1F374C06"/>
    <w:rsid w:val="2973086F"/>
    <w:rsid w:val="394E4AE5"/>
    <w:rsid w:val="3BDF64FE"/>
    <w:rsid w:val="3CF335A0"/>
    <w:rsid w:val="62E03B05"/>
    <w:rsid w:val="6DED0779"/>
    <w:rsid w:val="72086C48"/>
    <w:rsid w:val="74630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99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C599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6C599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customStyle="1" w:styleId="TableNormal">
    <w:name w:val="Table Normal"/>
    <w:semiHidden/>
    <w:unhideWhenUsed/>
    <w:qFormat/>
    <w:rsid w:val="006C599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</dc:creator>
  <cp:lastModifiedBy>gopal</cp:lastModifiedBy>
  <cp:revision>2</cp:revision>
  <cp:lastPrinted>2023-05-04T07:24:00Z</cp:lastPrinted>
  <dcterms:created xsi:type="dcterms:W3CDTF">2023-05-04T11:01:00Z</dcterms:created>
  <dcterms:modified xsi:type="dcterms:W3CDTF">2023-05-04T11:01:00Z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2DD9246AF84E475691C420329CAC2170</vt:lpwstr>
  </property>
</Properties>
</file>